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2554"/>
        <w:spacing w:before="169" w:line="219" w:lineRule="auto"/>
        <w:outlineLvl w:val="0"/>
        <w:rPr>
          <w:rFonts w:ascii="SimHei" w:hAnsi="SimHei" w:eastAsia="SimHei" w:cs="SimHei"/>
          <w:sz w:val="52"/>
          <w:szCs w:val="52"/>
        </w:rPr>
      </w:pPr>
      <w:r>
        <w:rPr>
          <w:rFonts w:ascii="SimHei" w:hAnsi="SimHei" w:eastAsia="SimHei" w:cs="SimHei"/>
          <w:sz w:val="52"/>
          <w:szCs w:val="52"/>
          <w:spacing w:val="-4"/>
        </w:rPr>
        <w:t>风险管理体系</w:t>
      </w:r>
      <w:r>
        <w:rPr>
          <w:rFonts w:ascii="SimHei" w:hAnsi="SimHei" w:eastAsia="SimHei" w:cs="SimHei"/>
          <w:sz w:val="52"/>
          <w:szCs w:val="52"/>
          <w:spacing w:val="-111"/>
        </w:rPr>
        <w:t xml:space="preserve"> </w:t>
      </w:r>
      <w:r>
        <w:rPr>
          <w:rFonts w:ascii="SimHei" w:hAnsi="SimHei" w:eastAsia="SimHei" w:cs="SimHei"/>
          <w:sz w:val="52"/>
          <w:szCs w:val="52"/>
          <w:spacing w:val="-4"/>
        </w:rPr>
        <w:t>要求</w:t>
      </w:r>
    </w:p>
    <w:p>
      <w:pPr>
        <w:pStyle w:val="BodyText"/>
        <w:spacing w:line="270" w:lineRule="auto"/>
        <w:rPr/>
      </w:pPr>
      <w:r/>
    </w:p>
    <w:p>
      <w:pPr>
        <w:ind w:left="2263"/>
        <w:spacing w:before="80" w:line="19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Risk management system — Requiremen</w:t>
      </w:r>
      <w:r>
        <w:rPr>
          <w:rFonts w:ascii="Times New Roman" w:hAnsi="Times New Roman" w:eastAsia="Times New Roman" w:cs="Times New Roman"/>
          <w:sz w:val="28"/>
          <w:szCs w:val="28"/>
          <w:spacing w:val="-1"/>
        </w:rPr>
        <w:t>ts</w:t>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5"/>
        <w:spacing w:before="91" w:line="232" w:lineRule="auto"/>
        <w:rPr>
          <w:rFonts w:ascii="SimHei" w:hAnsi="SimHei" w:eastAsia="SimHei" w:cs="SimHei"/>
          <w:sz w:val="28"/>
          <w:szCs w:val="28"/>
        </w:rPr>
      </w:pPr>
      <w:r>
        <w:pict>
          <v:shape id="_x0000_s2" style="position:absolute;margin-left:0pt;margin-top:18.2117pt;mso-position-vertical-relative:text;mso-position-horizontal-relative:text;width:400.4pt;height:0.75pt;z-index:251658240;" fillcolor="#000000" filled="true" stroked="false" coordsize="8007,15" coordorigin="0,0" path="m0,14l8007,14l8007,0l0,0l0,14xe"/>
        </w:pict>
      </w:r>
      <w:r>
        <w:rPr>
          <w:rFonts w:ascii="Times New Roman" w:hAnsi="Times New Roman" w:eastAsia="Times New Roman" w:cs="Times New Roman"/>
          <w:sz w:val="28"/>
          <w:szCs w:val="28"/>
          <w:spacing w:val="-1"/>
        </w:rPr>
        <w:t>2026-05-10 </w:t>
      </w:r>
      <w:r>
        <w:rPr>
          <w:rFonts w:ascii="SimHei" w:hAnsi="SimHei" w:eastAsia="SimHei" w:cs="SimHei"/>
          <w:sz w:val="28"/>
          <w:szCs w:val="28"/>
          <w:spacing w:val="-1"/>
        </w:rPr>
        <w:t>发布</w:t>
      </w:r>
      <w:r>
        <w:rPr>
          <w:rFonts w:ascii="SimHei" w:hAnsi="SimHei" w:eastAsia="SimHei" w:cs="SimHei"/>
          <w:sz w:val="28"/>
          <w:szCs w:val="28"/>
          <w:spacing w:val="3"/>
        </w:rPr>
        <w:t xml:space="preserve">                      </w:t>
      </w:r>
      <w:r>
        <w:rPr>
          <w:rFonts w:ascii="SimHei" w:hAnsi="SimHei" w:eastAsia="SimHei" w:cs="SimHei"/>
          <w:sz w:val="28"/>
          <w:szCs w:val="28"/>
          <w:spacing w:val="2"/>
        </w:rPr>
        <w:t xml:space="preserve">       </w:t>
      </w:r>
      <w:r>
        <w:rPr>
          <w:rFonts w:ascii="Times New Roman" w:hAnsi="Times New Roman" w:eastAsia="Times New Roman" w:cs="Times New Roman"/>
          <w:sz w:val="28"/>
          <w:szCs w:val="28"/>
          <w:spacing w:val="-1"/>
        </w:rPr>
        <w:t>2026-05-10</w:t>
      </w:r>
      <w:r>
        <w:rPr>
          <w:rFonts w:ascii="Times New Roman" w:hAnsi="Times New Roman" w:eastAsia="Times New Roman" w:cs="Times New Roman"/>
          <w:sz w:val="28"/>
          <w:szCs w:val="28"/>
          <w:spacing w:val="21"/>
        </w:rPr>
        <w:t xml:space="preserve"> </w:t>
      </w:r>
      <w:r>
        <w:rPr>
          <w:rFonts w:ascii="SimHei" w:hAnsi="SimHei" w:eastAsia="SimHei" w:cs="SimHei"/>
          <w:sz w:val="28"/>
          <w:szCs w:val="28"/>
          <w:spacing w:val="-1"/>
        </w:rPr>
        <w:t>实施</w:t>
      </w:r>
    </w:p>
    <w:p>
      <w:pPr>
        <w:ind w:left="2194"/>
        <w:spacing w:before="269" w:line="226" w:lineRule="auto"/>
        <w:rPr>
          <w:rFonts w:ascii="SimHei" w:hAnsi="SimHei" w:eastAsia="SimHei" w:cs="SimHei"/>
          <w:sz w:val="28"/>
          <w:szCs w:val="28"/>
        </w:rPr>
      </w:pPr>
      <w:r>
        <w:rPr>
          <w:rFonts w:ascii="SimHei" w:hAnsi="SimHei" w:eastAsia="SimHei" w:cs="SimHei"/>
          <w:sz w:val="31"/>
          <w:szCs w:val="31"/>
          <w:spacing w:val="6"/>
        </w:rPr>
        <w:t>中认合纵认证（深圳）有限公司</w:t>
      </w:r>
      <w:r>
        <w:rPr>
          <w:rFonts w:ascii="SimHei" w:hAnsi="SimHei" w:eastAsia="SimHei" w:cs="SimHei"/>
          <w:sz w:val="28"/>
          <w:szCs w:val="28"/>
          <w:spacing w:val="6"/>
        </w:rPr>
        <w:t>发布</w:t>
      </w:r>
    </w:p>
    <w:p>
      <w:pPr>
        <w:spacing w:line="226" w:lineRule="auto"/>
        <w:sectPr>
          <w:headerReference w:type="default" r:id="rId1"/>
          <w:pgSz w:w="11907" w:h="16839"/>
          <w:pgMar w:top="1441" w:right="1133" w:bottom="0" w:left="1416" w:header="1116" w:footer="0" w:gutter="0"/>
        </w:sectPr>
        <w:rPr>
          <w:rFonts w:ascii="SimHei" w:hAnsi="SimHei" w:eastAsia="SimHei" w:cs="SimHei"/>
          <w:sz w:val="28"/>
          <w:szCs w:val="28"/>
        </w:rPr>
      </w:pPr>
    </w:p>
    <w:sdt>
      <w:sdtPr>
        <w:rPr>
          <w:rFonts w:ascii="SimHei" w:hAnsi="SimHei" w:eastAsia="SimHei" w:cs="SimHei"/>
          <w:sz w:val="31"/>
          <w:szCs w:val="31"/>
        </w:rPr>
        <w:docPartObj>
          <w:docPartGallery w:val="Table of Contents"/>
          <w:docPartUnique/>
        </w:docPartObj>
      </w:sdtPr>
      <w:sdtEndPr>
        <w:rPr>
          <w:rFonts w:ascii="Cambria" w:hAnsi="Cambria" w:eastAsia="Cambria" w:cs="Cambria"/>
          <w:sz w:val="22"/>
          <w:szCs w:val="22"/>
        </w:rPr>
      </w:sdtEndPr>
      <w:sdtContent>
        <w:p>
          <w:pPr>
            <w:ind w:left="4405"/>
            <w:spacing w:before="151" w:line="225" w:lineRule="auto"/>
            <w:rPr>
              <w:rFonts w:ascii="SimHei" w:hAnsi="SimHei" w:eastAsia="SimHei" w:cs="SimHei"/>
              <w:sz w:val="31"/>
              <w:szCs w:val="31"/>
            </w:rPr>
          </w:pPr>
          <w:bookmarkStart w:name="bookmark1" w:id="1"/>
          <w:bookmarkEnd w:id="1"/>
          <w:r>
            <w:rPr>
              <w:rFonts w:ascii="SimHei" w:hAnsi="SimHei" w:eastAsia="SimHei" w:cs="SimHei"/>
              <w:sz w:val="31"/>
              <w:szCs w:val="31"/>
              <w:spacing w:val="-9"/>
            </w:rPr>
            <w:t>目次</w:t>
          </w:r>
        </w:p>
        <w:p>
          <w:pPr>
            <w:pStyle w:val="BodyText"/>
            <w:spacing w:line="315" w:lineRule="auto"/>
            <w:rPr/>
          </w:pPr>
          <w:r/>
        </w:p>
        <w:p>
          <w:pPr>
            <w:ind w:left="32"/>
            <w:spacing w:before="72" w:line="200" w:lineRule="auto"/>
            <w:tabs>
              <w:tab w:val="right" w:leader="dot" w:pos="9342"/>
            </w:tabs>
            <w:rPr>
              <w:rFonts w:ascii="Cambria" w:hAnsi="Cambria" w:eastAsia="Cambria" w:cs="Cambria"/>
              <w:sz w:val="22"/>
              <w:szCs w:val="22"/>
            </w:rPr>
          </w:pPr>
          <w:hyperlink w:history="true" w:anchor="bookmark1">
            <w:r>
              <w:rPr>
                <w:rFonts w:ascii="SimHei" w:hAnsi="SimHei" w:eastAsia="SimHei" w:cs="SimHei"/>
                <w:sz w:val="22"/>
                <w:szCs w:val="22"/>
                <w:spacing w:val="-18"/>
              </w:rPr>
              <w:t>目次</w:t>
            </w:r>
            <w:r>
              <w:rPr>
                <w:rFonts w:ascii="SimHei" w:hAnsi="SimHei" w:eastAsia="SimHei" w:cs="SimHei"/>
                <w:sz w:val="22"/>
                <w:szCs w:val="22"/>
                <w:spacing w:val="-86"/>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ind w:left="22"/>
            <w:spacing w:before="289" w:line="200" w:lineRule="auto"/>
            <w:tabs>
              <w:tab w:val="right" w:leader="dot" w:pos="9342"/>
            </w:tabs>
            <w:rPr>
              <w:rFonts w:ascii="Cambria" w:hAnsi="Cambria" w:eastAsia="Cambria" w:cs="Cambria"/>
              <w:sz w:val="22"/>
              <w:szCs w:val="22"/>
            </w:rPr>
          </w:pPr>
          <w:hyperlink w:history="true" w:anchor="bookmark2">
            <w:r>
              <w:rPr>
                <w:rFonts w:ascii="Times New Roman" w:hAnsi="Times New Roman" w:eastAsia="Times New Roman" w:cs="Times New Roman"/>
                <w:sz w:val="22"/>
                <w:szCs w:val="22"/>
                <w:spacing w:val="-12"/>
              </w:rPr>
              <w:t>1</w:t>
            </w:r>
            <w:r>
              <w:rPr>
                <w:rFonts w:ascii="Times New Roman" w:hAnsi="Times New Roman" w:eastAsia="Times New Roman" w:cs="Times New Roman"/>
                <w:sz w:val="22"/>
                <w:szCs w:val="22"/>
                <w:spacing w:val="12"/>
              </w:rPr>
              <w:t xml:space="preserve"> </w:t>
            </w:r>
            <w:r>
              <w:rPr>
                <w:rFonts w:ascii="SimHei" w:hAnsi="SimHei" w:eastAsia="SimHei" w:cs="SimHei"/>
                <w:sz w:val="22"/>
                <w:szCs w:val="22"/>
                <w:spacing w:val="-12"/>
              </w:rPr>
              <w:t>范围</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1"/>
            <w:spacing w:before="289" w:line="200" w:lineRule="auto"/>
            <w:tabs>
              <w:tab w:val="right" w:leader="dot" w:pos="9342"/>
            </w:tabs>
            <w:rPr>
              <w:rFonts w:ascii="Cambria" w:hAnsi="Cambria" w:eastAsia="Cambria" w:cs="Cambria"/>
              <w:sz w:val="22"/>
              <w:szCs w:val="22"/>
            </w:rPr>
          </w:pPr>
          <w:hyperlink w:history="true" w:anchor="bookmark3">
            <w:r>
              <w:rPr>
                <w:rFonts w:ascii="Times New Roman" w:hAnsi="Times New Roman" w:eastAsia="Times New Roman" w:cs="Times New Roman"/>
                <w:sz w:val="22"/>
                <w:szCs w:val="22"/>
                <w:spacing w:val="-1"/>
              </w:rPr>
              <w:t>2 </w:t>
            </w:r>
            <w:r>
              <w:rPr>
                <w:rFonts w:ascii="SimHei" w:hAnsi="SimHei" w:eastAsia="SimHei" w:cs="SimHei"/>
                <w:sz w:val="22"/>
                <w:szCs w:val="22"/>
                <w:spacing w:val="-1"/>
              </w:rPr>
              <w:t>规范性引用文件</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5"/>
            <w:spacing w:before="289" w:line="200" w:lineRule="auto"/>
            <w:tabs>
              <w:tab w:val="right" w:leader="dot" w:pos="9342"/>
            </w:tabs>
            <w:rPr>
              <w:rFonts w:ascii="Cambria" w:hAnsi="Cambria" w:eastAsia="Cambria" w:cs="Cambria"/>
              <w:sz w:val="22"/>
              <w:szCs w:val="22"/>
            </w:rPr>
          </w:pPr>
          <w:hyperlink w:history="true" w:anchor="bookmark4">
            <w:r>
              <w:rPr>
                <w:rFonts w:ascii="Times New Roman" w:hAnsi="Times New Roman" w:eastAsia="Times New Roman" w:cs="Times New Roman"/>
                <w:sz w:val="22"/>
                <w:szCs w:val="22"/>
                <w:spacing w:val="-1"/>
              </w:rPr>
              <w:t>3 </w:t>
            </w:r>
            <w:r>
              <w:rPr>
                <w:rFonts w:ascii="SimHei" w:hAnsi="SimHei" w:eastAsia="SimHei" w:cs="SimHei"/>
                <w:sz w:val="22"/>
                <w:szCs w:val="22"/>
                <w:spacing w:val="-1"/>
              </w:rPr>
              <w:t>术语和定义</w:t>
            </w:r>
            <w:r>
              <w:rPr>
                <w:rFonts w:ascii="SimHei" w:hAnsi="SimHei" w:eastAsia="SimHei" w:cs="SimHei"/>
                <w:sz w:val="22"/>
                <w:szCs w:val="22"/>
                <w:spacing w:val="-92"/>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spacing w:before="290" w:line="200" w:lineRule="auto"/>
            <w:tabs>
              <w:tab w:val="right" w:leader="dot" w:pos="9342"/>
            </w:tabs>
            <w:rPr>
              <w:rFonts w:ascii="Cambria" w:hAnsi="Cambria" w:eastAsia="Cambria" w:cs="Cambria"/>
              <w:sz w:val="22"/>
              <w:szCs w:val="22"/>
            </w:rPr>
          </w:pPr>
          <w:hyperlink w:history="true" w:anchor="bookmark5">
            <w:r>
              <w:rPr>
                <w:rFonts w:ascii="Times New Roman" w:hAnsi="Times New Roman" w:eastAsia="Times New Roman" w:cs="Times New Roman"/>
                <w:sz w:val="22"/>
                <w:szCs w:val="22"/>
                <w:spacing w:val="-1"/>
              </w:rPr>
              <w:t>4 </w:t>
            </w:r>
            <w:r>
              <w:rPr>
                <w:rFonts w:ascii="SimHei" w:hAnsi="SimHei" w:eastAsia="SimHei" w:cs="SimHei"/>
                <w:sz w:val="22"/>
                <w:szCs w:val="22"/>
                <w:spacing w:val="-1"/>
              </w:rPr>
              <w:t>组织环境</w:t>
            </w:r>
            <w:r>
              <w:rPr>
                <w:rFonts w:ascii="SimHei" w:hAnsi="SimHei" w:eastAsia="SimHei" w:cs="SimHei"/>
                <w:sz w:val="22"/>
                <w:szCs w:val="22"/>
                <w:spacing w:val="-96"/>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39"/>
            <w:spacing w:before="292" w:line="200" w:lineRule="auto"/>
            <w:tabs>
              <w:tab w:val="right" w:leader="dot" w:pos="9342"/>
            </w:tabs>
            <w:rPr>
              <w:rFonts w:ascii="Cambria" w:hAnsi="Cambria" w:eastAsia="Cambria" w:cs="Cambria"/>
              <w:sz w:val="22"/>
              <w:szCs w:val="22"/>
            </w:rPr>
          </w:pPr>
          <w:hyperlink w:history="true" w:anchor="bookmark6">
            <w:r>
              <w:rPr>
                <w:rFonts w:ascii="Times New Roman" w:hAnsi="Times New Roman" w:eastAsia="Times New Roman" w:cs="Times New Roman"/>
                <w:sz w:val="22"/>
                <w:szCs w:val="22"/>
                <w:spacing w:val="-1"/>
              </w:rPr>
              <w:t>4.1 </w:t>
            </w:r>
            <w:r>
              <w:rPr>
                <w:rFonts w:ascii="SimHei" w:hAnsi="SimHei" w:eastAsia="SimHei" w:cs="SimHei"/>
                <w:sz w:val="22"/>
                <w:szCs w:val="22"/>
                <w:spacing w:val="-1"/>
              </w:rPr>
              <w:t>理解组织及其环境</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39"/>
            <w:spacing w:before="290" w:line="200" w:lineRule="auto"/>
            <w:tabs>
              <w:tab w:val="right" w:leader="dot" w:pos="9342"/>
            </w:tabs>
            <w:rPr>
              <w:rFonts w:ascii="Cambria" w:hAnsi="Cambria" w:eastAsia="Cambria" w:cs="Cambria"/>
              <w:sz w:val="22"/>
              <w:szCs w:val="22"/>
            </w:rPr>
          </w:pPr>
          <w:hyperlink w:history="true" w:anchor="bookmark7">
            <w:r>
              <w:rPr>
                <w:rFonts w:ascii="Times New Roman" w:hAnsi="Times New Roman" w:eastAsia="Times New Roman" w:cs="Times New Roman"/>
                <w:sz w:val="22"/>
                <w:szCs w:val="22"/>
                <w:spacing w:val="-1"/>
              </w:rPr>
              <w:t>4.2 </w:t>
            </w:r>
            <w:r>
              <w:rPr>
                <w:rFonts w:ascii="SimHei" w:hAnsi="SimHei" w:eastAsia="SimHei" w:cs="SimHei"/>
                <w:sz w:val="22"/>
                <w:szCs w:val="22"/>
                <w:spacing w:val="-1"/>
              </w:rPr>
              <w:t>理解相关方的需求和期望</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39"/>
            <w:spacing w:before="290" w:line="200" w:lineRule="auto"/>
            <w:tabs>
              <w:tab w:val="right" w:leader="dot" w:pos="9342"/>
            </w:tabs>
            <w:rPr>
              <w:rFonts w:ascii="Cambria" w:hAnsi="Cambria" w:eastAsia="Cambria" w:cs="Cambria"/>
              <w:sz w:val="22"/>
              <w:szCs w:val="22"/>
            </w:rPr>
          </w:pPr>
          <w:hyperlink w:history="true" w:anchor="bookmark8">
            <w:r>
              <w:rPr>
                <w:rFonts w:ascii="Times New Roman" w:hAnsi="Times New Roman" w:eastAsia="Times New Roman" w:cs="Times New Roman"/>
                <w:sz w:val="22"/>
                <w:szCs w:val="22"/>
                <w:spacing w:val="-1"/>
              </w:rPr>
              <w:t>4.3 </w:t>
            </w:r>
            <w:r>
              <w:rPr>
                <w:rFonts w:ascii="SimHei" w:hAnsi="SimHei" w:eastAsia="SimHei" w:cs="SimHei"/>
                <w:sz w:val="22"/>
                <w:szCs w:val="22"/>
                <w:spacing w:val="-1"/>
              </w:rPr>
              <w:t>确定风险管理体系的范围</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39"/>
            <w:spacing w:before="289" w:line="200" w:lineRule="auto"/>
            <w:tabs>
              <w:tab w:val="right" w:leader="dot" w:pos="9342"/>
            </w:tabs>
            <w:rPr>
              <w:rFonts w:ascii="Cambria" w:hAnsi="Cambria" w:eastAsia="Cambria" w:cs="Cambria"/>
              <w:sz w:val="22"/>
              <w:szCs w:val="22"/>
            </w:rPr>
          </w:pPr>
          <w:hyperlink w:history="true" w:anchor="bookmark9">
            <w:r>
              <w:rPr>
                <w:rFonts w:ascii="Times New Roman" w:hAnsi="Times New Roman" w:eastAsia="Times New Roman" w:cs="Times New Roman"/>
                <w:sz w:val="22"/>
                <w:szCs w:val="22"/>
                <w:spacing w:val="-1"/>
              </w:rPr>
              <w:t>4.4 </w:t>
            </w:r>
            <w:r>
              <w:rPr>
                <w:rFonts w:ascii="SimHei" w:hAnsi="SimHei" w:eastAsia="SimHei" w:cs="SimHei"/>
                <w:sz w:val="22"/>
                <w:szCs w:val="22"/>
                <w:spacing w:val="-1"/>
              </w:rPr>
              <w:t>风险管理体系及其过程</w:t>
            </w:r>
            <w:r>
              <w:rPr>
                <w:rFonts w:ascii="SimHei" w:hAnsi="SimHei" w:eastAsia="SimHei" w:cs="SimHei"/>
                <w:sz w:val="22"/>
                <w:szCs w:val="22"/>
                <w:spacing w:val="-51"/>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39"/>
            <w:spacing w:before="290" w:line="200" w:lineRule="auto"/>
            <w:tabs>
              <w:tab w:val="right" w:leader="dot" w:pos="9342"/>
            </w:tabs>
            <w:rPr>
              <w:rFonts w:ascii="Cambria" w:hAnsi="Cambria" w:eastAsia="Cambria" w:cs="Cambria"/>
              <w:sz w:val="22"/>
              <w:szCs w:val="22"/>
            </w:rPr>
          </w:pPr>
          <w:hyperlink w:history="true" w:anchor="bookmark10">
            <w:r>
              <w:rPr>
                <w:rFonts w:ascii="Times New Roman" w:hAnsi="Times New Roman" w:eastAsia="Times New Roman" w:cs="Times New Roman"/>
                <w:sz w:val="22"/>
                <w:szCs w:val="22"/>
                <w:spacing w:val="-1"/>
              </w:rPr>
              <w:t>4.5 </w:t>
            </w:r>
            <w:r>
              <w:rPr>
                <w:rFonts w:ascii="SimHei" w:hAnsi="SimHei" w:eastAsia="SimHei" w:cs="SimHei"/>
                <w:sz w:val="22"/>
                <w:szCs w:val="22"/>
                <w:spacing w:val="-1"/>
              </w:rPr>
              <w:t>风险管理原则</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7"/>
            <w:spacing w:before="290" w:line="200" w:lineRule="auto"/>
            <w:tabs>
              <w:tab w:val="right" w:leader="dot" w:pos="9342"/>
            </w:tabs>
            <w:rPr>
              <w:rFonts w:ascii="Cambria" w:hAnsi="Cambria" w:eastAsia="Cambria" w:cs="Cambria"/>
              <w:sz w:val="22"/>
              <w:szCs w:val="22"/>
            </w:rPr>
          </w:pPr>
          <w:hyperlink w:history="true" w:anchor="bookmark11">
            <w:r>
              <w:rPr>
                <w:rFonts w:ascii="Times New Roman" w:hAnsi="Times New Roman" w:eastAsia="Times New Roman" w:cs="Times New Roman"/>
                <w:sz w:val="22"/>
                <w:szCs w:val="22"/>
                <w:spacing w:val="-2"/>
              </w:rPr>
              <w:t>5 </w:t>
            </w:r>
            <w:r>
              <w:rPr>
                <w:rFonts w:ascii="SimHei" w:hAnsi="SimHei" w:eastAsia="SimHei" w:cs="SimHei"/>
                <w:sz w:val="22"/>
                <w:szCs w:val="22"/>
                <w:spacing w:val="-2"/>
              </w:rPr>
              <w:t>领导作用</w:t>
            </w:r>
            <w:r>
              <w:rPr>
                <w:rFonts w:ascii="SimHei" w:hAnsi="SimHei" w:eastAsia="SimHei" w:cs="SimHei"/>
                <w:sz w:val="22"/>
                <w:szCs w:val="22"/>
                <w:spacing w:val="-97"/>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6"/>
            <w:spacing w:before="289" w:line="200" w:lineRule="auto"/>
            <w:tabs>
              <w:tab w:val="right" w:leader="dot" w:pos="9342"/>
            </w:tabs>
            <w:rPr>
              <w:rFonts w:ascii="Cambria" w:hAnsi="Cambria" w:eastAsia="Cambria" w:cs="Cambria"/>
              <w:sz w:val="22"/>
              <w:szCs w:val="22"/>
            </w:rPr>
          </w:pPr>
          <w:hyperlink w:history="true" w:anchor="bookmark12">
            <w:r>
              <w:rPr>
                <w:rFonts w:ascii="Times New Roman" w:hAnsi="Times New Roman" w:eastAsia="Times New Roman" w:cs="Times New Roman"/>
                <w:sz w:val="22"/>
                <w:szCs w:val="22"/>
                <w:spacing w:val="-1"/>
              </w:rPr>
              <w:t>5.1 </w:t>
            </w:r>
            <w:r>
              <w:rPr>
                <w:rFonts w:ascii="SimHei" w:hAnsi="SimHei" w:eastAsia="SimHei" w:cs="SimHei"/>
                <w:sz w:val="22"/>
                <w:szCs w:val="22"/>
                <w:spacing w:val="-1"/>
              </w:rPr>
              <w:t>领导作用和承诺</w:t>
            </w:r>
            <w:r>
              <w:rPr>
                <w:rFonts w:ascii="SimHei" w:hAnsi="SimHei" w:eastAsia="SimHei" w:cs="SimHei"/>
                <w:sz w:val="22"/>
                <w:szCs w:val="22"/>
                <w:spacing w:val="-85"/>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6"/>
            <w:spacing w:before="290" w:line="200" w:lineRule="auto"/>
            <w:tabs>
              <w:tab w:val="right" w:leader="dot" w:pos="9342"/>
            </w:tabs>
            <w:rPr>
              <w:rFonts w:ascii="Cambria" w:hAnsi="Cambria" w:eastAsia="Cambria" w:cs="Cambria"/>
              <w:sz w:val="22"/>
              <w:szCs w:val="22"/>
            </w:rPr>
          </w:pPr>
          <w:hyperlink w:history="true" w:anchor="bookmark13">
            <w:r>
              <w:rPr>
                <w:rFonts w:ascii="Times New Roman" w:hAnsi="Times New Roman" w:eastAsia="Times New Roman" w:cs="Times New Roman"/>
                <w:sz w:val="22"/>
                <w:szCs w:val="22"/>
                <w:spacing w:val="-1"/>
              </w:rPr>
              <w:t>5.2 </w:t>
            </w:r>
            <w:r>
              <w:rPr>
                <w:rFonts w:ascii="SimHei" w:hAnsi="SimHei" w:eastAsia="SimHei" w:cs="SimHei"/>
                <w:sz w:val="22"/>
                <w:szCs w:val="22"/>
                <w:spacing w:val="-1"/>
              </w:rPr>
              <w:t>风险管理方针</w:t>
            </w:r>
            <w:r>
              <w:rPr>
                <w:rFonts w:ascii="SimHei" w:hAnsi="SimHei" w:eastAsia="SimHei" w:cs="SimHei"/>
                <w:sz w:val="22"/>
                <w:szCs w:val="22"/>
                <w:spacing w:val="-94"/>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6"/>
            <w:spacing w:before="290" w:line="200" w:lineRule="auto"/>
            <w:tabs>
              <w:tab w:val="right" w:leader="dot" w:pos="9342"/>
            </w:tabs>
            <w:rPr>
              <w:rFonts w:ascii="Cambria" w:hAnsi="Cambria" w:eastAsia="Cambria" w:cs="Cambria"/>
              <w:sz w:val="22"/>
              <w:szCs w:val="22"/>
            </w:rPr>
          </w:pPr>
          <w:hyperlink w:history="true" w:anchor="bookmark14">
            <w:r>
              <w:rPr>
                <w:rFonts w:ascii="Times New Roman" w:hAnsi="Times New Roman" w:eastAsia="Times New Roman" w:cs="Times New Roman"/>
                <w:sz w:val="22"/>
                <w:szCs w:val="22"/>
                <w:spacing w:val="-1"/>
              </w:rPr>
              <w:t>5.3 </w:t>
            </w:r>
            <w:r>
              <w:rPr>
                <w:rFonts w:ascii="SimHei" w:hAnsi="SimHei" w:eastAsia="SimHei" w:cs="SimHei"/>
                <w:sz w:val="22"/>
                <w:szCs w:val="22"/>
                <w:spacing w:val="-1"/>
              </w:rPr>
              <w:t>组织的角色、职责和权限</w:t>
            </w:r>
            <w:r>
              <w:rPr>
                <w:rFonts w:ascii="SimHei" w:hAnsi="SimHei" w:eastAsia="SimHei" w:cs="SimHei"/>
                <w:sz w:val="22"/>
                <w:szCs w:val="22"/>
                <w:spacing w:val="-94"/>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5"/>
            <w:spacing w:before="290" w:line="200" w:lineRule="auto"/>
            <w:tabs>
              <w:tab w:val="right" w:leader="dot" w:pos="9342"/>
            </w:tabs>
            <w:rPr>
              <w:rFonts w:ascii="Cambria" w:hAnsi="Cambria" w:eastAsia="Cambria" w:cs="Cambria"/>
              <w:sz w:val="22"/>
              <w:szCs w:val="22"/>
            </w:rPr>
          </w:pPr>
          <w:hyperlink w:history="true" w:anchor="bookmark15">
            <w:r>
              <w:rPr>
                <w:rFonts w:ascii="Times New Roman" w:hAnsi="Times New Roman" w:eastAsia="Times New Roman" w:cs="Times New Roman"/>
                <w:sz w:val="22"/>
                <w:szCs w:val="22"/>
                <w:spacing w:val="-6"/>
              </w:rPr>
              <w:t>6</w:t>
            </w:r>
            <w:r>
              <w:rPr>
                <w:rFonts w:ascii="Times New Roman" w:hAnsi="Times New Roman" w:eastAsia="Times New Roman" w:cs="Times New Roman"/>
                <w:sz w:val="22"/>
                <w:szCs w:val="22"/>
                <w:spacing w:val="9"/>
              </w:rPr>
              <w:t xml:space="preserve"> </w:t>
            </w:r>
            <w:r>
              <w:rPr>
                <w:rFonts w:ascii="SimHei" w:hAnsi="SimHei" w:eastAsia="SimHei" w:cs="SimHei"/>
                <w:sz w:val="22"/>
                <w:szCs w:val="22"/>
                <w:spacing w:val="-6"/>
              </w:rPr>
              <w:t>策划</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5"/>
            <w:spacing w:before="289" w:line="200" w:lineRule="auto"/>
            <w:tabs>
              <w:tab w:val="right" w:leader="dot" w:pos="9342"/>
            </w:tabs>
            <w:rPr>
              <w:rFonts w:ascii="Cambria" w:hAnsi="Cambria" w:eastAsia="Cambria" w:cs="Cambria"/>
              <w:sz w:val="22"/>
              <w:szCs w:val="22"/>
            </w:rPr>
          </w:pPr>
          <w:hyperlink w:history="true" w:anchor="bookmark16">
            <w:r>
              <w:rPr>
                <w:rFonts w:ascii="Times New Roman" w:hAnsi="Times New Roman" w:eastAsia="Times New Roman" w:cs="Times New Roman"/>
                <w:sz w:val="22"/>
                <w:szCs w:val="22"/>
                <w:spacing w:val="-1"/>
              </w:rPr>
              <w:t>6.1 </w:t>
            </w:r>
            <w:r>
              <w:rPr>
                <w:rFonts w:ascii="SimHei" w:hAnsi="SimHei" w:eastAsia="SimHei" w:cs="SimHei"/>
                <w:sz w:val="22"/>
                <w:szCs w:val="22"/>
                <w:spacing w:val="-1"/>
              </w:rPr>
              <w:t>应对风险和机遇的措施</w:t>
            </w:r>
            <w:r>
              <w:rPr>
                <w:rFonts w:ascii="SimHei" w:hAnsi="SimHei" w:eastAsia="SimHei" w:cs="SimHei"/>
                <w:sz w:val="22"/>
                <w:szCs w:val="22"/>
                <w:spacing w:val="-57"/>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5"/>
            <w:spacing w:before="290" w:line="200" w:lineRule="auto"/>
            <w:tabs>
              <w:tab w:val="right" w:leader="dot" w:pos="9342"/>
            </w:tabs>
            <w:rPr>
              <w:rFonts w:ascii="Cambria" w:hAnsi="Cambria" w:eastAsia="Cambria" w:cs="Cambria"/>
              <w:sz w:val="22"/>
              <w:szCs w:val="22"/>
            </w:rPr>
          </w:pPr>
          <w:hyperlink w:history="true" w:anchor="bookmark17">
            <w:r>
              <w:rPr>
                <w:rFonts w:ascii="Times New Roman" w:hAnsi="Times New Roman" w:eastAsia="Times New Roman" w:cs="Times New Roman"/>
                <w:sz w:val="22"/>
                <w:szCs w:val="22"/>
                <w:spacing w:val="-1"/>
              </w:rPr>
              <w:t>6.2 </w:t>
            </w:r>
            <w:r>
              <w:rPr>
                <w:rFonts w:ascii="SimHei" w:hAnsi="SimHei" w:eastAsia="SimHei" w:cs="SimHei"/>
                <w:sz w:val="22"/>
                <w:szCs w:val="22"/>
                <w:spacing w:val="-1"/>
              </w:rPr>
              <w:t>风险准则</w:t>
            </w:r>
            <w:r>
              <w:rPr>
                <w:rFonts w:ascii="SimHei" w:hAnsi="SimHei" w:eastAsia="SimHei" w:cs="SimHei"/>
                <w:sz w:val="22"/>
                <w:szCs w:val="22"/>
                <w:spacing w:val="-65"/>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5"/>
            <w:spacing w:before="290" w:line="200" w:lineRule="auto"/>
            <w:tabs>
              <w:tab w:val="right" w:leader="dot" w:pos="9342"/>
            </w:tabs>
            <w:rPr>
              <w:rFonts w:ascii="Cambria" w:hAnsi="Cambria" w:eastAsia="Cambria" w:cs="Cambria"/>
              <w:sz w:val="22"/>
              <w:szCs w:val="22"/>
            </w:rPr>
          </w:pPr>
          <w:hyperlink w:history="true" w:anchor="bookmark18">
            <w:r>
              <w:rPr>
                <w:rFonts w:ascii="Times New Roman" w:hAnsi="Times New Roman" w:eastAsia="Times New Roman" w:cs="Times New Roman"/>
                <w:sz w:val="22"/>
                <w:szCs w:val="22"/>
                <w:spacing w:val="-1"/>
              </w:rPr>
              <w:t>6.3 </w:t>
            </w:r>
            <w:r>
              <w:rPr>
                <w:rFonts w:ascii="SimHei" w:hAnsi="SimHei" w:eastAsia="SimHei" w:cs="SimHei"/>
                <w:sz w:val="22"/>
                <w:szCs w:val="22"/>
                <w:spacing w:val="-1"/>
              </w:rPr>
              <w:t>风险管理目标及其实现的策划</w:t>
            </w:r>
            <w:r>
              <w:rPr>
                <w:rFonts w:ascii="SimHei" w:hAnsi="SimHei" w:eastAsia="SimHei" w:cs="SimHei"/>
                <w:sz w:val="22"/>
                <w:szCs w:val="22"/>
                <w:spacing w:val="-75"/>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
            <w:spacing w:before="290" w:line="200" w:lineRule="auto"/>
            <w:tabs>
              <w:tab w:val="right" w:leader="dot" w:pos="9342"/>
            </w:tabs>
            <w:rPr>
              <w:rFonts w:ascii="Cambria" w:hAnsi="Cambria" w:eastAsia="Cambria" w:cs="Cambria"/>
              <w:sz w:val="22"/>
              <w:szCs w:val="22"/>
            </w:rPr>
          </w:pPr>
          <w:hyperlink w:history="true" w:anchor="bookmark19">
            <w:r>
              <w:rPr>
                <w:rFonts w:ascii="Times New Roman" w:hAnsi="Times New Roman" w:eastAsia="Times New Roman" w:cs="Times New Roman"/>
                <w:sz w:val="22"/>
                <w:szCs w:val="22"/>
                <w:spacing w:val="-8"/>
              </w:rPr>
              <w:t>7</w:t>
            </w:r>
            <w:r>
              <w:rPr>
                <w:rFonts w:ascii="Times New Roman" w:hAnsi="Times New Roman" w:eastAsia="Times New Roman" w:cs="Times New Roman"/>
                <w:sz w:val="22"/>
                <w:szCs w:val="22"/>
                <w:spacing w:val="17"/>
              </w:rPr>
              <w:t xml:space="preserve"> </w:t>
            </w:r>
            <w:r>
              <w:rPr>
                <w:rFonts w:ascii="SimHei" w:hAnsi="SimHei" w:eastAsia="SimHei" w:cs="SimHei"/>
                <w:sz w:val="22"/>
                <w:szCs w:val="22"/>
                <w:spacing w:val="-8"/>
              </w:rPr>
              <w:t>支持</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3"/>
            <w:spacing w:before="290" w:line="200" w:lineRule="auto"/>
            <w:tabs>
              <w:tab w:val="right" w:leader="dot" w:pos="9342"/>
            </w:tabs>
            <w:rPr>
              <w:rFonts w:ascii="Cambria" w:hAnsi="Cambria" w:eastAsia="Cambria" w:cs="Cambria"/>
              <w:sz w:val="22"/>
              <w:szCs w:val="22"/>
            </w:rPr>
          </w:pPr>
          <w:hyperlink w:history="true" w:anchor="bookmark20">
            <w:r>
              <w:rPr>
                <w:rFonts w:ascii="Times New Roman" w:hAnsi="Times New Roman" w:eastAsia="Times New Roman" w:cs="Times New Roman"/>
                <w:sz w:val="22"/>
                <w:szCs w:val="22"/>
                <w:spacing w:val="-5"/>
              </w:rPr>
              <w:t>7.1</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资源</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3"/>
            <w:spacing w:before="289" w:line="200" w:lineRule="auto"/>
            <w:tabs>
              <w:tab w:val="right" w:leader="dot" w:pos="9342"/>
            </w:tabs>
            <w:rPr>
              <w:rFonts w:ascii="Cambria" w:hAnsi="Cambria" w:eastAsia="Cambria" w:cs="Cambria"/>
              <w:sz w:val="22"/>
              <w:szCs w:val="22"/>
            </w:rPr>
          </w:pPr>
          <w:hyperlink w:history="true" w:anchor="bookmark21">
            <w:r>
              <w:rPr>
                <w:rFonts w:ascii="Times New Roman" w:hAnsi="Times New Roman" w:eastAsia="Times New Roman" w:cs="Times New Roman"/>
                <w:sz w:val="22"/>
                <w:szCs w:val="22"/>
                <w:spacing w:val="-5"/>
              </w:rPr>
              <w:t>7.2</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能力</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3"/>
            <w:spacing w:before="290" w:line="200" w:lineRule="auto"/>
            <w:tabs>
              <w:tab w:val="right" w:leader="dot" w:pos="9342"/>
            </w:tabs>
            <w:rPr>
              <w:rFonts w:ascii="Cambria" w:hAnsi="Cambria" w:eastAsia="Cambria" w:cs="Cambria"/>
              <w:sz w:val="22"/>
              <w:szCs w:val="22"/>
            </w:rPr>
          </w:pPr>
          <w:hyperlink w:history="true" w:anchor="bookmark22">
            <w:r>
              <w:rPr>
                <w:rFonts w:ascii="Times New Roman" w:hAnsi="Times New Roman" w:eastAsia="Times New Roman" w:cs="Times New Roman"/>
                <w:sz w:val="22"/>
                <w:szCs w:val="22"/>
                <w:spacing w:val="-4"/>
              </w:rPr>
              <w:t>7.3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4"/>
              </w:rPr>
              <w:t>意识</w:t>
            </w:r>
            <w:r>
              <w:rPr>
                <w:rFonts w:ascii="SimHei" w:hAnsi="SimHei" w:eastAsia="SimHei" w:cs="SimHei"/>
                <w:sz w:val="22"/>
                <w:szCs w:val="22"/>
                <w:spacing w:val="-81"/>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3"/>
            <w:spacing w:before="290" w:line="200" w:lineRule="auto"/>
            <w:tabs>
              <w:tab w:val="right" w:leader="dot" w:pos="9342"/>
            </w:tabs>
            <w:rPr>
              <w:rFonts w:ascii="Cambria" w:hAnsi="Cambria" w:eastAsia="Cambria" w:cs="Cambria"/>
              <w:sz w:val="22"/>
              <w:szCs w:val="22"/>
            </w:rPr>
          </w:pPr>
          <w:hyperlink w:history="true" w:anchor="bookmark23">
            <w:r>
              <w:rPr>
                <w:rFonts w:ascii="Times New Roman" w:hAnsi="Times New Roman" w:eastAsia="Times New Roman" w:cs="Times New Roman"/>
                <w:sz w:val="22"/>
                <w:szCs w:val="22"/>
                <w:spacing w:val="-1"/>
              </w:rPr>
              <w:t>7.4 </w:t>
            </w:r>
            <w:r>
              <w:rPr>
                <w:rFonts w:ascii="SimHei" w:hAnsi="SimHei" w:eastAsia="SimHei" w:cs="SimHei"/>
                <w:sz w:val="22"/>
                <w:szCs w:val="22"/>
                <w:spacing w:val="-1"/>
              </w:rPr>
              <w:t>沟通和咨询</w:t>
            </w:r>
            <w:r>
              <w:rPr>
                <w:rFonts w:ascii="SimHei" w:hAnsi="SimHei" w:eastAsia="SimHei" w:cs="SimHei"/>
                <w:sz w:val="22"/>
                <w:szCs w:val="22"/>
                <w:spacing w:val="-55"/>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3"/>
            <w:spacing w:before="289" w:line="200" w:lineRule="auto"/>
            <w:tabs>
              <w:tab w:val="right" w:leader="dot" w:pos="9342"/>
            </w:tabs>
            <w:rPr>
              <w:rFonts w:ascii="Cambria" w:hAnsi="Cambria" w:eastAsia="Cambria" w:cs="Cambria"/>
              <w:sz w:val="22"/>
              <w:szCs w:val="22"/>
            </w:rPr>
          </w:pPr>
          <w:hyperlink w:history="true" w:anchor="bookmark24">
            <w:r>
              <w:rPr>
                <w:rFonts w:ascii="Times New Roman" w:hAnsi="Times New Roman" w:eastAsia="Times New Roman" w:cs="Times New Roman"/>
                <w:sz w:val="22"/>
                <w:szCs w:val="22"/>
                <w:spacing w:val="-1"/>
              </w:rPr>
              <w:t>7.5 </w:t>
            </w:r>
            <w:r>
              <w:rPr>
                <w:rFonts w:ascii="SimHei" w:hAnsi="SimHei" w:eastAsia="SimHei" w:cs="SimHei"/>
                <w:sz w:val="22"/>
                <w:szCs w:val="22"/>
                <w:spacing w:val="-1"/>
              </w:rPr>
              <w:t>成文信息</w:t>
            </w:r>
            <w:r>
              <w:rPr>
                <w:rFonts w:ascii="SimHei" w:hAnsi="SimHei" w:eastAsia="SimHei" w:cs="SimHei"/>
                <w:sz w:val="22"/>
                <w:szCs w:val="22"/>
                <w:spacing w:val="-64"/>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9"/>
            <w:spacing w:before="290" w:line="200" w:lineRule="auto"/>
            <w:tabs>
              <w:tab w:val="right" w:leader="dot" w:pos="9342"/>
            </w:tabs>
            <w:rPr>
              <w:rFonts w:ascii="Cambria" w:hAnsi="Cambria" w:eastAsia="Cambria" w:cs="Cambria"/>
              <w:sz w:val="22"/>
              <w:szCs w:val="22"/>
            </w:rPr>
          </w:pPr>
          <w:hyperlink w:history="true" w:anchor="bookmark25">
            <w:r>
              <w:rPr>
                <w:rFonts w:ascii="Times New Roman" w:hAnsi="Times New Roman" w:eastAsia="Times New Roman" w:cs="Times New Roman"/>
                <w:sz w:val="22"/>
                <w:szCs w:val="22"/>
                <w:spacing w:val="-8"/>
              </w:rPr>
              <w:t>8</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8"/>
              </w:rPr>
              <w:t>运行</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9"/>
            <w:spacing w:before="290" w:line="234" w:lineRule="auto"/>
            <w:tabs>
              <w:tab w:val="right" w:leader="dot" w:pos="9342"/>
            </w:tabs>
            <w:rPr>
              <w:rFonts w:ascii="Cambria" w:hAnsi="Cambria" w:eastAsia="Cambria" w:cs="Cambria"/>
              <w:sz w:val="22"/>
              <w:szCs w:val="22"/>
            </w:rPr>
          </w:pPr>
          <w:hyperlink w:history="true" w:anchor="bookmark26">
            <w:r>
              <w:rPr>
                <w:rFonts w:ascii="Times New Roman" w:hAnsi="Times New Roman" w:eastAsia="Times New Roman" w:cs="Times New Roman"/>
                <w:sz w:val="22"/>
                <w:szCs w:val="22"/>
                <w:spacing w:val="-1"/>
              </w:rPr>
              <w:t>8.1 </w:t>
            </w:r>
            <w:r>
              <w:rPr>
                <w:rFonts w:ascii="SimHei" w:hAnsi="SimHei" w:eastAsia="SimHei" w:cs="SimHei"/>
                <w:sz w:val="22"/>
                <w:szCs w:val="22"/>
                <w:spacing w:val="-1"/>
              </w:rPr>
              <w:t>运行的策划和控制</w:t>
            </w:r>
            <w:r>
              <w:rPr>
                <w:rFonts w:ascii="SimHei" w:hAnsi="SimHei" w:eastAsia="SimHei" w:cs="SimHei"/>
                <w:sz w:val="22"/>
                <w:szCs w:val="22"/>
                <w:spacing w:val="-79"/>
              </w:rPr>
              <w:t xml:space="preserve"> </w:t>
            </w:r>
            <w:r>
              <w:rPr>
                <w:rFonts w:ascii="SimHei" w:hAnsi="SimHei" w:eastAsia="SimHei" w:cs="SimHei"/>
                <w:sz w:val="22"/>
                <w:szCs w:val="22"/>
              </w:rPr>
              <w:tab/>
            </w:r>
            <w:r>
              <w:rPr>
                <w:rFonts w:ascii="Cambria" w:hAnsi="Cambria" w:eastAsia="Cambria" w:cs="Cambria"/>
                <w:sz w:val="22"/>
                <w:szCs w:val="22"/>
                <w:spacing w:val="15"/>
              </w:rPr>
              <w:t>9</w:t>
            </w:r>
          </w:hyperlink>
        </w:p>
      </w:sdtContent>
    </w:sdt>
    <w:p>
      <w:pPr>
        <w:spacing w:line="234" w:lineRule="auto"/>
        <w:sectPr>
          <w:headerReference w:type="default" r:id="rId2"/>
          <w:footerReference w:type="default" r:id="rId3"/>
          <w:pgSz w:w="11907" w:h="16839"/>
          <w:pgMar w:top="1028" w:right="1134" w:bottom="880" w:left="1420" w:header="703" w:footer="678" w:gutter="0"/>
        </w:sectPr>
        <w:rPr>
          <w:rFonts w:ascii="Cambria" w:hAnsi="Cambria" w:eastAsia="Cambria" w:cs="Cambria"/>
          <w:sz w:val="22"/>
          <w:szCs w:val="22"/>
        </w:rPr>
      </w:pPr>
    </w:p>
    <w:sdt>
      <w:sdtPr>
        <w:rPr>
          <w:rFonts w:ascii="Times New Roman" w:hAnsi="Times New Roman" w:eastAsia="Times New Roman" w:cs="Times New Roman"/>
          <w:sz w:val="22"/>
          <w:szCs w:val="22"/>
        </w:rPr>
        <w:docPartObj>
          <w:docPartGallery w:val="Table of Contents"/>
          <w:docPartUnique/>
        </w:docPartObj>
      </w:sdtPr>
      <w:sdtEndPr>
        <w:rPr>
          <w:rFonts w:ascii="Cambria" w:hAnsi="Cambria" w:eastAsia="Cambria" w:cs="Cambria"/>
          <w:sz w:val="22"/>
          <w:szCs w:val="22"/>
        </w:rPr>
      </w:sdtEndPr>
      <w:sdtContent>
        <w:p>
          <w:pPr>
            <w:ind w:left="443"/>
            <w:spacing w:before="137" w:line="200" w:lineRule="auto"/>
            <w:tabs>
              <w:tab w:val="right" w:leader="dot" w:pos="9337"/>
            </w:tabs>
            <w:rPr>
              <w:rFonts w:ascii="Cambria" w:hAnsi="Cambria" w:eastAsia="Cambria" w:cs="Cambria"/>
              <w:sz w:val="22"/>
              <w:szCs w:val="22"/>
            </w:rPr>
          </w:pPr>
          <w:hyperlink w:history="true" w:anchor="bookmark27">
            <w:r>
              <w:rPr>
                <w:rFonts w:ascii="Times New Roman" w:hAnsi="Times New Roman" w:eastAsia="Times New Roman" w:cs="Times New Roman"/>
                <w:sz w:val="22"/>
                <w:szCs w:val="22"/>
                <w:spacing w:val="-2"/>
              </w:rPr>
              <w:t>8.2 </w:t>
            </w:r>
            <w:r>
              <w:rPr>
                <w:rFonts w:ascii="SimHei" w:hAnsi="SimHei" w:eastAsia="SimHei" w:cs="SimHei"/>
                <w:sz w:val="22"/>
                <w:szCs w:val="22"/>
                <w:spacing w:val="-2"/>
              </w:rPr>
              <w:t>风险评估</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3"/>
            <w:spacing w:before="292" w:line="200" w:lineRule="auto"/>
            <w:tabs>
              <w:tab w:val="right" w:leader="dot" w:pos="9337"/>
            </w:tabs>
            <w:rPr>
              <w:rFonts w:ascii="Cambria" w:hAnsi="Cambria" w:eastAsia="Cambria" w:cs="Cambria"/>
              <w:sz w:val="22"/>
              <w:szCs w:val="22"/>
            </w:rPr>
          </w:pPr>
          <w:hyperlink w:history="true" w:anchor="bookmark28">
            <w:r>
              <w:rPr>
                <w:rFonts w:ascii="Times New Roman" w:hAnsi="Times New Roman" w:eastAsia="Times New Roman" w:cs="Times New Roman"/>
                <w:sz w:val="22"/>
                <w:szCs w:val="22"/>
                <w:spacing w:val="-2"/>
              </w:rPr>
              <w:t>8.3 </w:t>
            </w:r>
            <w:r>
              <w:rPr>
                <w:rFonts w:ascii="SimHei" w:hAnsi="SimHei" w:eastAsia="SimHei" w:cs="SimHei"/>
                <w:sz w:val="22"/>
                <w:szCs w:val="22"/>
                <w:spacing w:val="-2"/>
              </w:rPr>
              <w:t>风险应对</w:t>
            </w:r>
            <w:r>
              <w:rPr>
                <w:rFonts w:ascii="SimHei" w:hAnsi="SimHei" w:eastAsia="SimHei" w:cs="SimHei"/>
                <w:sz w:val="22"/>
                <w:szCs w:val="22"/>
                <w:spacing w:val="-62"/>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10</w:t>
            </w:r>
          </w:hyperlink>
        </w:p>
        <w:p>
          <w:pPr>
            <w:ind w:left="443"/>
            <w:spacing w:before="289" w:line="200" w:lineRule="auto"/>
            <w:tabs>
              <w:tab w:val="right" w:leader="dot" w:pos="9337"/>
            </w:tabs>
            <w:rPr>
              <w:rFonts w:ascii="Cambria" w:hAnsi="Cambria" w:eastAsia="Cambria" w:cs="Cambria"/>
              <w:sz w:val="22"/>
              <w:szCs w:val="22"/>
            </w:rPr>
          </w:pPr>
          <w:hyperlink w:history="true" w:anchor="bookmark29">
            <w:r>
              <w:rPr>
                <w:rFonts w:ascii="Times New Roman" w:hAnsi="Times New Roman" w:eastAsia="Times New Roman" w:cs="Times New Roman"/>
                <w:sz w:val="22"/>
                <w:szCs w:val="22"/>
                <w:spacing w:val="-2"/>
              </w:rPr>
              <w:t>8.4 </w:t>
            </w:r>
            <w:r>
              <w:rPr>
                <w:rFonts w:ascii="SimHei" w:hAnsi="SimHei" w:eastAsia="SimHei" w:cs="SimHei"/>
                <w:sz w:val="22"/>
                <w:szCs w:val="22"/>
                <w:spacing w:val="-2"/>
              </w:rPr>
              <w:t>监视和评审</w:t>
            </w:r>
            <w:r>
              <w:rPr>
                <w:rFonts w:ascii="SimHei" w:hAnsi="SimHei" w:eastAsia="SimHei" w:cs="SimHei"/>
                <w:sz w:val="22"/>
                <w:szCs w:val="22"/>
                <w:spacing w:val="-52"/>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11</w:t>
            </w:r>
          </w:hyperlink>
        </w:p>
        <w:p>
          <w:pPr>
            <w:ind w:left="443"/>
            <w:spacing w:before="289" w:line="200" w:lineRule="auto"/>
            <w:tabs>
              <w:tab w:val="right" w:leader="dot" w:pos="9337"/>
            </w:tabs>
            <w:rPr>
              <w:rFonts w:ascii="Cambria" w:hAnsi="Cambria" w:eastAsia="Cambria" w:cs="Cambria"/>
              <w:sz w:val="22"/>
              <w:szCs w:val="22"/>
            </w:rPr>
          </w:pPr>
          <w:hyperlink w:history="true" w:anchor="bookmark30">
            <w:r>
              <w:rPr>
                <w:rFonts w:ascii="Times New Roman" w:hAnsi="Times New Roman" w:eastAsia="Times New Roman" w:cs="Times New Roman"/>
                <w:sz w:val="22"/>
                <w:szCs w:val="22"/>
                <w:spacing w:val="-2"/>
              </w:rPr>
              <w:t>8.5 </w:t>
            </w:r>
            <w:r>
              <w:rPr>
                <w:rFonts w:ascii="SimHei" w:hAnsi="SimHei" w:eastAsia="SimHei" w:cs="SimHei"/>
                <w:sz w:val="22"/>
                <w:szCs w:val="22"/>
                <w:spacing w:val="-2"/>
              </w:rPr>
              <w:t>记录和报告</w:t>
            </w:r>
            <w:r>
              <w:rPr>
                <w:rFonts w:ascii="SimHei" w:hAnsi="SimHei" w:eastAsia="SimHei" w:cs="SimHei"/>
                <w:sz w:val="22"/>
                <w:szCs w:val="22"/>
                <w:spacing w:val="-52"/>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11</w:t>
            </w:r>
          </w:hyperlink>
        </w:p>
        <w:p>
          <w:pPr>
            <w:spacing w:before="290" w:line="200" w:lineRule="auto"/>
            <w:tabs>
              <w:tab w:val="right" w:leader="dot" w:pos="9337"/>
            </w:tabs>
            <w:rPr>
              <w:rFonts w:ascii="Cambria" w:hAnsi="Cambria" w:eastAsia="Cambria" w:cs="Cambria"/>
              <w:sz w:val="22"/>
              <w:szCs w:val="22"/>
            </w:rPr>
          </w:pPr>
          <w:hyperlink w:history="true" w:anchor="bookmark31">
            <w:r>
              <w:rPr>
                <w:rFonts w:ascii="Times New Roman" w:hAnsi="Times New Roman" w:eastAsia="Times New Roman" w:cs="Times New Roman"/>
                <w:sz w:val="22"/>
                <w:szCs w:val="22"/>
                <w:spacing w:val="-4"/>
              </w:rPr>
              <w:t>9</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4"/>
              </w:rPr>
              <w:t>绩效评价</w:t>
            </w:r>
            <w:r>
              <w:rPr>
                <w:rFonts w:ascii="SimHei" w:hAnsi="SimHei" w:eastAsia="SimHei" w:cs="SimHei"/>
                <w:sz w:val="22"/>
                <w:szCs w:val="22"/>
                <w:spacing w:val="-98"/>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11</w:t>
            </w:r>
          </w:hyperlink>
        </w:p>
        <w:p>
          <w:pPr>
            <w:ind w:left="439"/>
            <w:spacing w:before="289" w:line="200" w:lineRule="auto"/>
            <w:tabs>
              <w:tab w:val="right" w:leader="dot" w:pos="9337"/>
            </w:tabs>
            <w:rPr>
              <w:rFonts w:ascii="Cambria" w:hAnsi="Cambria" w:eastAsia="Cambria" w:cs="Cambria"/>
              <w:sz w:val="22"/>
              <w:szCs w:val="22"/>
            </w:rPr>
          </w:pPr>
          <w:hyperlink w:history="true" w:anchor="bookmark32">
            <w:r>
              <w:rPr>
                <w:rFonts w:ascii="Times New Roman" w:hAnsi="Times New Roman" w:eastAsia="Times New Roman" w:cs="Times New Roman"/>
                <w:sz w:val="22"/>
                <w:szCs w:val="22"/>
                <w:spacing w:val="-1"/>
              </w:rPr>
              <w:t>9.1 </w:t>
            </w:r>
            <w:r>
              <w:rPr>
                <w:rFonts w:ascii="SimHei" w:hAnsi="SimHei" w:eastAsia="SimHei" w:cs="SimHei"/>
                <w:sz w:val="22"/>
                <w:szCs w:val="22"/>
                <w:spacing w:val="-1"/>
              </w:rPr>
              <w:t>监视、测量、分析和评价</w:t>
            </w:r>
            <w:r>
              <w:rPr>
                <w:rFonts w:ascii="SimHei" w:hAnsi="SimHei" w:eastAsia="SimHei" w:cs="SimHei"/>
                <w:sz w:val="22"/>
                <w:szCs w:val="22"/>
                <w:spacing w:val="-93"/>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11</w:t>
            </w:r>
          </w:hyperlink>
        </w:p>
        <w:p>
          <w:pPr>
            <w:ind w:left="439"/>
            <w:spacing w:before="290" w:line="200" w:lineRule="auto"/>
            <w:tabs>
              <w:tab w:val="right" w:leader="dot" w:pos="9337"/>
            </w:tabs>
            <w:rPr>
              <w:rFonts w:ascii="Cambria" w:hAnsi="Cambria" w:eastAsia="Cambria" w:cs="Cambria"/>
              <w:sz w:val="22"/>
              <w:szCs w:val="22"/>
            </w:rPr>
          </w:pPr>
          <w:hyperlink w:history="true" w:anchor="bookmark33">
            <w:r>
              <w:rPr>
                <w:rFonts w:ascii="Times New Roman" w:hAnsi="Times New Roman" w:eastAsia="Times New Roman" w:cs="Times New Roman"/>
                <w:sz w:val="22"/>
                <w:szCs w:val="22"/>
                <w:spacing w:val="-5"/>
              </w:rPr>
              <w:t>9.2</w:t>
            </w:r>
            <w:r>
              <w:rPr>
                <w:rFonts w:ascii="Times New Roman" w:hAnsi="Times New Roman" w:eastAsia="Times New Roman" w:cs="Times New Roman"/>
                <w:sz w:val="22"/>
                <w:szCs w:val="22"/>
                <w:spacing w:val="27"/>
              </w:rPr>
              <w:t xml:space="preserve"> </w:t>
            </w:r>
            <w:r>
              <w:rPr>
                <w:rFonts w:ascii="SimHei" w:hAnsi="SimHei" w:eastAsia="SimHei" w:cs="SimHei"/>
                <w:sz w:val="22"/>
                <w:szCs w:val="22"/>
                <w:spacing w:val="-5"/>
              </w:rPr>
              <w:t>内部审核</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12</w:t>
            </w:r>
          </w:hyperlink>
        </w:p>
        <w:p>
          <w:pPr>
            <w:ind w:left="439"/>
            <w:spacing w:before="290" w:line="200" w:lineRule="auto"/>
            <w:tabs>
              <w:tab w:val="right" w:leader="dot" w:pos="9337"/>
            </w:tabs>
            <w:rPr>
              <w:rFonts w:ascii="Cambria" w:hAnsi="Cambria" w:eastAsia="Cambria" w:cs="Cambria"/>
              <w:sz w:val="22"/>
              <w:szCs w:val="22"/>
            </w:rPr>
          </w:pPr>
          <w:hyperlink w:history="true" w:anchor="bookmark34">
            <w:r>
              <w:rPr>
                <w:rFonts w:ascii="Times New Roman" w:hAnsi="Times New Roman" w:eastAsia="Times New Roman" w:cs="Times New Roman"/>
                <w:sz w:val="22"/>
                <w:szCs w:val="22"/>
                <w:spacing w:val="-3"/>
              </w:rPr>
              <w:t>9.3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3"/>
              </w:rPr>
              <w:t>管理评审</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12</w:t>
            </w:r>
          </w:hyperlink>
        </w:p>
        <w:p>
          <w:pPr>
            <w:ind w:left="17"/>
            <w:spacing w:before="290" w:line="200" w:lineRule="auto"/>
            <w:tabs>
              <w:tab w:val="right" w:leader="dot" w:pos="9337"/>
            </w:tabs>
            <w:rPr>
              <w:rFonts w:ascii="Cambria" w:hAnsi="Cambria" w:eastAsia="Cambria" w:cs="Cambria"/>
              <w:sz w:val="22"/>
              <w:szCs w:val="22"/>
            </w:rPr>
          </w:pPr>
          <w:hyperlink w:history="true" w:anchor="bookmark35">
            <w:r>
              <w:rPr>
                <w:rFonts w:ascii="Times New Roman" w:hAnsi="Times New Roman" w:eastAsia="Times New Roman" w:cs="Times New Roman"/>
                <w:sz w:val="22"/>
                <w:szCs w:val="22"/>
                <w:spacing w:val="-10"/>
              </w:rPr>
              <w:t>10</w:t>
            </w:r>
            <w:r>
              <w:rPr>
                <w:rFonts w:ascii="Times New Roman" w:hAnsi="Times New Roman" w:eastAsia="Times New Roman" w:cs="Times New Roman"/>
                <w:sz w:val="22"/>
                <w:szCs w:val="22"/>
                <w:spacing w:val="15"/>
                <w:w w:val="101"/>
              </w:rPr>
              <w:t xml:space="preserve"> </w:t>
            </w:r>
            <w:r>
              <w:rPr>
                <w:rFonts w:ascii="SimHei" w:hAnsi="SimHei" w:eastAsia="SimHei" w:cs="SimHei"/>
                <w:sz w:val="22"/>
                <w:szCs w:val="22"/>
                <w:spacing w:val="-10"/>
              </w:rPr>
              <w:t>改进</w:t>
            </w:r>
            <w:r>
              <w:rPr>
                <w:rFonts w:ascii="SimHei" w:hAnsi="SimHei" w:eastAsia="SimHei" w:cs="SimHei"/>
                <w:sz w:val="22"/>
                <w:szCs w:val="22"/>
                <w:spacing w:val="-89"/>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12</w:t>
            </w:r>
          </w:hyperlink>
        </w:p>
        <w:p>
          <w:pPr>
            <w:ind w:left="456"/>
            <w:spacing w:before="290" w:line="200" w:lineRule="auto"/>
            <w:tabs>
              <w:tab w:val="right" w:leader="dot" w:pos="9337"/>
            </w:tabs>
            <w:rPr>
              <w:rFonts w:ascii="Cambria" w:hAnsi="Cambria" w:eastAsia="Cambria" w:cs="Cambria"/>
              <w:sz w:val="22"/>
              <w:szCs w:val="22"/>
            </w:rPr>
          </w:pPr>
          <w:hyperlink w:history="true" w:anchor="bookmark36">
            <w:r>
              <w:rPr>
                <w:rFonts w:ascii="Times New Roman" w:hAnsi="Times New Roman" w:eastAsia="Times New Roman" w:cs="Times New Roman"/>
                <w:sz w:val="22"/>
                <w:szCs w:val="22"/>
                <w:spacing w:val="-6"/>
              </w:rPr>
              <w:t>10.1</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6"/>
              </w:rPr>
              <w:t>总则</w:t>
            </w:r>
            <w:r>
              <w:rPr>
                <w:rFonts w:ascii="SimHei" w:hAnsi="SimHei" w:eastAsia="SimHei" w:cs="SimHei"/>
                <w:sz w:val="22"/>
                <w:szCs w:val="22"/>
                <w:spacing w:val="-101"/>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12</w:t>
            </w:r>
          </w:hyperlink>
        </w:p>
        <w:p>
          <w:pPr>
            <w:ind w:left="456"/>
            <w:spacing w:before="289" w:line="200" w:lineRule="auto"/>
            <w:tabs>
              <w:tab w:val="right" w:leader="dot" w:pos="9337"/>
            </w:tabs>
            <w:rPr>
              <w:rFonts w:ascii="Cambria" w:hAnsi="Cambria" w:eastAsia="Cambria" w:cs="Cambria"/>
              <w:sz w:val="22"/>
              <w:szCs w:val="22"/>
            </w:rPr>
          </w:pPr>
          <w:hyperlink w:history="true" w:anchor="bookmark37">
            <w:r>
              <w:rPr>
                <w:rFonts w:ascii="Times New Roman" w:hAnsi="Times New Roman" w:eastAsia="Times New Roman" w:cs="Times New Roman"/>
                <w:sz w:val="22"/>
                <w:szCs w:val="22"/>
                <w:spacing w:val="-2"/>
              </w:rPr>
              <w:t>10.2 </w:t>
            </w:r>
            <w:r>
              <w:rPr>
                <w:rFonts w:ascii="SimHei" w:hAnsi="SimHei" w:eastAsia="SimHei" w:cs="SimHei"/>
                <w:sz w:val="22"/>
                <w:szCs w:val="22"/>
                <w:spacing w:val="-2"/>
              </w:rPr>
              <w:t>不符合和纠正措施</w:t>
            </w:r>
            <w:r>
              <w:rPr>
                <w:rFonts w:ascii="SimHei" w:hAnsi="SimHei" w:eastAsia="SimHei" w:cs="SimHei"/>
                <w:sz w:val="22"/>
                <w:szCs w:val="22"/>
                <w:spacing w:val="-96"/>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13</w:t>
            </w:r>
          </w:hyperlink>
        </w:p>
        <w:p>
          <w:pPr>
            <w:ind w:left="456"/>
            <w:spacing w:before="290" w:line="200" w:lineRule="auto"/>
            <w:tabs>
              <w:tab w:val="right" w:leader="dot" w:pos="9337"/>
            </w:tabs>
            <w:rPr>
              <w:rFonts w:ascii="Cambria" w:hAnsi="Cambria" w:eastAsia="Cambria" w:cs="Cambria"/>
              <w:sz w:val="22"/>
              <w:szCs w:val="22"/>
            </w:rPr>
          </w:pPr>
          <w:hyperlink w:history="true" w:anchor="bookmark38">
            <w:r>
              <w:rPr>
                <w:rFonts w:ascii="Times New Roman" w:hAnsi="Times New Roman" w:eastAsia="Times New Roman" w:cs="Times New Roman"/>
                <w:sz w:val="22"/>
                <w:szCs w:val="22"/>
                <w:spacing w:val="-3"/>
              </w:rPr>
              <w:t>10.3 </w:t>
            </w:r>
            <w:r>
              <w:rPr>
                <w:rFonts w:ascii="SimHei" w:hAnsi="SimHei" w:eastAsia="SimHei" w:cs="SimHei"/>
                <w:sz w:val="22"/>
                <w:szCs w:val="22"/>
                <w:spacing w:val="-3"/>
              </w:rPr>
              <w:t>持续改进</w:t>
            </w:r>
            <w:r>
              <w:rPr>
                <w:rFonts w:ascii="SimHei" w:hAnsi="SimHei" w:eastAsia="SimHei" w:cs="SimHei"/>
                <w:sz w:val="22"/>
                <w:szCs w:val="22"/>
                <w:spacing w:val="-82"/>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13</w:t>
            </w:r>
          </w:hyperlink>
        </w:p>
        <w:p>
          <w:pPr>
            <w:ind w:left="11"/>
            <w:spacing w:before="290" w:line="200" w:lineRule="auto"/>
            <w:tabs>
              <w:tab w:val="right" w:leader="dot" w:pos="9337"/>
            </w:tabs>
            <w:rPr>
              <w:rFonts w:ascii="Cambria" w:hAnsi="Cambria" w:eastAsia="Cambria" w:cs="Cambria"/>
              <w:sz w:val="22"/>
              <w:szCs w:val="22"/>
            </w:rPr>
          </w:pPr>
          <w:hyperlink w:history="true" w:anchor="bookmark39">
            <w:r>
              <w:rPr>
                <w:rFonts w:ascii="SimHei" w:hAnsi="SimHei" w:eastAsia="SimHei" w:cs="SimHei"/>
                <w:sz w:val="22"/>
                <w:szCs w:val="22"/>
                <w:spacing w:val="-3"/>
              </w:rPr>
              <w:t>附录</w:t>
            </w:r>
            <w:r>
              <w:rPr>
                <w:rFonts w:ascii="SimHei" w:hAnsi="SimHei" w:eastAsia="SimHei" w:cs="SimHei"/>
                <w:sz w:val="22"/>
                <w:szCs w:val="22"/>
                <w:spacing w:val="-41"/>
              </w:rPr>
              <w:t xml:space="preserve"> </w:t>
            </w:r>
            <w:r>
              <w:rPr>
                <w:rFonts w:ascii="Times New Roman" w:hAnsi="Times New Roman" w:eastAsia="Times New Roman" w:cs="Times New Roman"/>
                <w:sz w:val="22"/>
                <w:szCs w:val="22"/>
                <w:spacing w:val="-3"/>
              </w:rPr>
              <w:t>A </w:t>
            </w:r>
            <w:r>
              <w:rPr>
                <w:rFonts w:ascii="SimHei" w:hAnsi="SimHei" w:eastAsia="SimHei" w:cs="SimHei"/>
                <w:sz w:val="22"/>
                <w:szCs w:val="22"/>
                <w:spacing w:val="-3"/>
              </w:rPr>
              <w:t>（资料性）</w:t>
            </w:r>
            <w:r>
              <w:rPr>
                <w:rFonts w:ascii="SimHei" w:hAnsi="SimHei" w:eastAsia="SimHei" w:cs="SimHei"/>
                <w:sz w:val="22"/>
                <w:szCs w:val="22"/>
                <w:spacing w:val="-38"/>
              </w:rPr>
              <w:t xml:space="preserve"> </w:t>
            </w:r>
            <w:r>
              <w:rPr>
                <w:rFonts w:ascii="SimHei" w:hAnsi="SimHei" w:eastAsia="SimHei" w:cs="SimHei"/>
                <w:sz w:val="22"/>
                <w:szCs w:val="22"/>
                <w:spacing w:val="-3"/>
              </w:rPr>
              <w:t>风险管理八项原则</w:t>
            </w:r>
            <w:r>
              <w:rPr>
                <w:rFonts w:ascii="SimHei" w:hAnsi="SimHei" w:eastAsia="SimHei" w:cs="SimHei"/>
                <w:sz w:val="22"/>
                <w:szCs w:val="22"/>
                <w:spacing w:val="-78"/>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1"/>
              </w:rPr>
              <w:t>1</w:t>
            </w:r>
            <w:r>
              <w:rPr>
                <w:rFonts w:ascii="Cambria" w:hAnsi="Cambria" w:eastAsia="Cambria" w:cs="Cambria"/>
                <w:sz w:val="22"/>
                <w:szCs w:val="22"/>
                <w:spacing w:val="-9"/>
              </w:rPr>
              <w:t>4</w:t>
            </w:r>
          </w:hyperlink>
        </w:p>
        <w:p>
          <w:pPr>
            <w:ind w:left="11"/>
            <w:spacing w:before="290" w:line="200" w:lineRule="auto"/>
            <w:tabs>
              <w:tab w:val="right" w:leader="dot" w:pos="9337"/>
            </w:tabs>
            <w:rPr>
              <w:rFonts w:ascii="Cambria" w:hAnsi="Cambria" w:eastAsia="Cambria" w:cs="Cambria"/>
              <w:sz w:val="22"/>
              <w:szCs w:val="22"/>
            </w:rPr>
          </w:pPr>
          <w:hyperlink w:history="true" w:anchor="bookmark40">
            <w:r>
              <w:rPr>
                <w:rFonts w:ascii="SimHei" w:hAnsi="SimHei" w:eastAsia="SimHei" w:cs="SimHei"/>
                <w:sz w:val="22"/>
                <w:szCs w:val="22"/>
                <w:spacing w:val="-2"/>
              </w:rPr>
              <w:t>附录</w:t>
            </w:r>
            <w:r>
              <w:rPr>
                <w:rFonts w:ascii="SimHei" w:hAnsi="SimHei" w:eastAsia="SimHei" w:cs="SimHei"/>
                <w:sz w:val="22"/>
                <w:szCs w:val="22"/>
                <w:spacing w:val="-49"/>
              </w:rPr>
              <w:t xml:space="preserve"> </w:t>
            </w:r>
            <w:r>
              <w:rPr>
                <w:rFonts w:ascii="Times New Roman" w:hAnsi="Times New Roman" w:eastAsia="Times New Roman" w:cs="Times New Roman"/>
                <w:sz w:val="22"/>
                <w:szCs w:val="22"/>
                <w:spacing w:val="-2"/>
              </w:rPr>
              <w:t>B </w:t>
            </w:r>
            <w:r>
              <w:rPr>
                <w:rFonts w:ascii="SimHei" w:hAnsi="SimHei" w:eastAsia="SimHei" w:cs="SimHei"/>
                <w:sz w:val="22"/>
                <w:szCs w:val="22"/>
                <w:spacing w:val="-2"/>
              </w:rPr>
              <w:t>（资料性）</w:t>
            </w:r>
            <w:r>
              <w:rPr>
                <w:rFonts w:ascii="SimHei" w:hAnsi="SimHei" w:eastAsia="SimHei" w:cs="SimHei"/>
                <w:sz w:val="22"/>
                <w:szCs w:val="22"/>
                <w:spacing w:val="-38"/>
              </w:rPr>
              <w:t xml:space="preserve"> </w:t>
            </w:r>
            <w:r>
              <w:rPr>
                <w:rFonts w:ascii="SimHei" w:hAnsi="SimHei" w:eastAsia="SimHei" w:cs="SimHei"/>
                <w:sz w:val="22"/>
                <w:szCs w:val="22"/>
                <w:spacing w:val="-2"/>
              </w:rPr>
              <w:t>风险管理常用技术工具示例</w:t>
            </w:r>
            <w:r>
              <w:rPr>
                <w:rFonts w:ascii="SimHei" w:hAnsi="SimHei" w:eastAsia="SimHei" w:cs="SimHei"/>
                <w:sz w:val="22"/>
                <w:szCs w:val="22"/>
                <w:spacing w:val="-81"/>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15</w:t>
            </w:r>
          </w:hyperlink>
        </w:p>
        <w:p>
          <w:pPr>
            <w:ind w:left="11"/>
            <w:spacing w:before="290" w:line="234" w:lineRule="auto"/>
            <w:tabs>
              <w:tab w:val="right" w:leader="dot" w:pos="9337"/>
            </w:tabs>
            <w:rPr>
              <w:rFonts w:ascii="Cambria" w:hAnsi="Cambria" w:eastAsia="Cambria" w:cs="Cambria"/>
              <w:sz w:val="22"/>
              <w:szCs w:val="22"/>
            </w:rPr>
          </w:pPr>
          <w:hyperlink w:history="true" w:anchor="bookmark41">
            <w:r>
              <w:rPr>
                <w:rFonts w:ascii="SimHei" w:hAnsi="SimHei" w:eastAsia="SimHei" w:cs="SimHei"/>
                <w:sz w:val="22"/>
                <w:szCs w:val="22"/>
                <w:spacing w:val="-2"/>
              </w:rPr>
              <w:t>附录</w:t>
            </w:r>
            <w:r>
              <w:rPr>
                <w:rFonts w:ascii="SimHei" w:hAnsi="SimHei" w:eastAsia="SimHei" w:cs="SimHei"/>
                <w:sz w:val="22"/>
                <w:szCs w:val="22"/>
                <w:spacing w:val="-47"/>
              </w:rPr>
              <w:t xml:space="preserve"> </w:t>
            </w:r>
            <w:r>
              <w:rPr>
                <w:rFonts w:ascii="Times New Roman" w:hAnsi="Times New Roman" w:eastAsia="Times New Roman" w:cs="Times New Roman"/>
                <w:sz w:val="22"/>
                <w:szCs w:val="22"/>
                <w:spacing w:val="-2"/>
              </w:rPr>
              <w:t>C </w:t>
            </w:r>
            <w:r>
              <w:rPr>
                <w:rFonts w:ascii="SimHei" w:hAnsi="SimHei" w:eastAsia="SimHei" w:cs="SimHei"/>
                <w:sz w:val="22"/>
                <w:szCs w:val="22"/>
                <w:spacing w:val="-2"/>
              </w:rPr>
              <w:t>（资料性）</w:t>
            </w:r>
            <w:r>
              <w:rPr>
                <w:rFonts w:ascii="SimHei" w:hAnsi="SimHei" w:eastAsia="SimHei" w:cs="SimHei"/>
                <w:sz w:val="22"/>
                <w:szCs w:val="22"/>
                <w:spacing w:val="-39"/>
              </w:rPr>
              <w:t xml:space="preserve"> </w:t>
            </w:r>
            <w:r>
              <w:rPr>
                <w:rFonts w:ascii="SimHei" w:hAnsi="SimHei" w:eastAsia="SimHei" w:cs="SimHei"/>
                <w:sz w:val="22"/>
                <w:szCs w:val="22"/>
                <w:spacing w:val="-2"/>
              </w:rPr>
              <w:t>风险管理体系成文信息清单参考</w:t>
            </w:r>
            <w:r>
              <w:rPr>
                <w:rFonts w:ascii="SimHei" w:hAnsi="SimHei" w:eastAsia="SimHei" w:cs="SimHei"/>
                <w:sz w:val="22"/>
                <w:szCs w:val="22"/>
                <w:spacing w:val="-61"/>
              </w:rPr>
              <w:t xml:space="preserve"> </w:t>
            </w:r>
            <w:r>
              <w:rPr>
                <w:rFonts w:ascii="SimHei" w:hAnsi="SimHei" w:eastAsia="SimHei" w:cs="SimHei"/>
                <w:sz w:val="22"/>
                <w:szCs w:val="22"/>
              </w:rPr>
              <w:tab/>
            </w:r>
            <w:r>
              <w:rPr>
                <w:rFonts w:ascii="SimHei" w:hAnsi="SimHei" w:eastAsia="SimHei" w:cs="SimHei"/>
                <w:sz w:val="22"/>
                <w:szCs w:val="22"/>
                <w:spacing w:val="-61"/>
              </w:rPr>
              <w:t xml:space="preserve"> </w:t>
            </w:r>
            <w:r>
              <w:rPr>
                <w:rFonts w:ascii="Cambria" w:hAnsi="Cambria" w:eastAsia="Cambria" w:cs="Cambria"/>
                <w:sz w:val="22"/>
                <w:szCs w:val="22"/>
                <w:spacing w:val="-10"/>
              </w:rPr>
              <w:t>16</w:t>
            </w:r>
          </w:hyperlink>
        </w:p>
      </w:sdtContent>
    </w:sdt>
    <w:p>
      <w:pPr>
        <w:spacing w:line="234" w:lineRule="auto"/>
        <w:sectPr>
          <w:headerReference w:type="default" r:id="rId4"/>
          <w:footerReference w:type="default" r:id="rId5"/>
          <w:pgSz w:w="11907" w:h="16839"/>
          <w:pgMar w:top="1028" w:right="1134" w:bottom="880" w:left="1425" w:header="703" w:footer="678" w:gutter="0"/>
        </w:sectPr>
        <w:rPr>
          <w:rFonts w:ascii="Cambria" w:hAnsi="Cambria" w:eastAsia="Cambria" w:cs="Cambria"/>
          <w:sz w:val="22"/>
          <w:szCs w:val="22"/>
        </w:rPr>
      </w:pPr>
    </w:p>
    <w:p>
      <w:pPr>
        <w:ind w:left="3367"/>
        <w:spacing w:before="151" w:line="224" w:lineRule="auto"/>
        <w:rPr>
          <w:rFonts w:ascii="SimHei" w:hAnsi="SimHei" w:eastAsia="SimHei" w:cs="SimHei"/>
          <w:sz w:val="31"/>
          <w:szCs w:val="31"/>
        </w:rPr>
      </w:pPr>
      <w:bookmarkStart w:name="bookmark2" w:id="2"/>
      <w:bookmarkEnd w:id="2"/>
      <w:r>
        <w:rPr>
          <w:rFonts w:ascii="SimHei" w:hAnsi="SimHei" w:eastAsia="SimHei" w:cs="SimHei"/>
          <w:sz w:val="31"/>
          <w:szCs w:val="31"/>
          <w:spacing w:val="6"/>
        </w:rPr>
        <w:t>风险管理体系</w:t>
      </w:r>
      <w:r>
        <w:rPr>
          <w:rFonts w:ascii="SimHei" w:hAnsi="SimHei" w:eastAsia="SimHei" w:cs="SimHei"/>
          <w:sz w:val="31"/>
          <w:szCs w:val="31"/>
          <w:spacing w:val="-58"/>
        </w:rPr>
        <w:t xml:space="preserve"> </w:t>
      </w:r>
      <w:r>
        <w:rPr>
          <w:rFonts w:ascii="SimHei" w:hAnsi="SimHei" w:eastAsia="SimHei" w:cs="SimHei"/>
          <w:sz w:val="31"/>
          <w:szCs w:val="31"/>
          <w:spacing w:val="6"/>
        </w:rPr>
        <w:t>要求</w:t>
      </w:r>
    </w:p>
    <w:p>
      <w:pPr>
        <w:pStyle w:val="BodyText"/>
        <w:spacing w:line="399" w:lineRule="auto"/>
        <w:rPr/>
      </w:pPr>
      <w:r/>
    </w:p>
    <w:p>
      <w:pPr>
        <w:ind w:left="20"/>
        <w:spacing w:before="68" w:line="235" w:lineRule="auto"/>
        <w:outlineLvl w:val="0"/>
        <w:rPr>
          <w:rFonts w:ascii="SimHei" w:hAnsi="SimHei" w:eastAsia="SimHei" w:cs="SimHei"/>
          <w:sz w:val="21"/>
          <w:szCs w:val="21"/>
        </w:rPr>
      </w:pPr>
      <w:bookmarkStart w:name="bookmark42" w:id="3"/>
      <w:bookmarkEnd w:id="3"/>
      <w:r>
        <w:rPr>
          <w:rFonts w:ascii="Times New Roman" w:hAnsi="Times New Roman" w:eastAsia="Times New Roman" w:cs="Times New Roman"/>
          <w:sz w:val="21"/>
          <w:szCs w:val="21"/>
          <w:spacing w:val="-10"/>
        </w:rPr>
        <w:t>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10"/>
        </w:rPr>
        <w:t>范围</w:t>
      </w:r>
    </w:p>
    <w:p>
      <w:pPr>
        <w:ind w:left="5" w:firstLine="419"/>
        <w:spacing w:before="202" w:line="360" w:lineRule="auto"/>
        <w:rPr>
          <w:rFonts w:ascii="SimSun" w:hAnsi="SimSun" w:eastAsia="SimSun" w:cs="SimSun"/>
          <w:sz w:val="21"/>
          <w:szCs w:val="21"/>
        </w:rPr>
      </w:pPr>
      <w:r>
        <w:rPr>
          <w:rFonts w:ascii="SimSun" w:hAnsi="SimSun" w:eastAsia="SimSun" w:cs="SimSun"/>
          <w:sz w:val="21"/>
          <w:szCs w:val="21"/>
          <w:spacing w:val="2"/>
        </w:rPr>
        <w:t>本文件规定了组织建立、实施、保持和持续改进风险管</w:t>
      </w:r>
      <w:r>
        <w:rPr>
          <w:rFonts w:ascii="SimSun" w:hAnsi="SimSun" w:eastAsia="SimSun" w:cs="SimSun"/>
          <w:sz w:val="21"/>
          <w:szCs w:val="21"/>
          <w:spacing w:val="1"/>
        </w:rPr>
        <w:t>理体系的要求，包括组织环境、领导作用、</w:t>
      </w:r>
      <w:r>
        <w:rPr>
          <w:rFonts w:ascii="SimSun" w:hAnsi="SimSun" w:eastAsia="SimSun" w:cs="SimSun"/>
          <w:sz w:val="21"/>
          <w:szCs w:val="21"/>
          <w:spacing w:val="-2"/>
        </w:rPr>
        <w:t>策划、支持、运行、绩效评价和改进等内容。</w:t>
      </w:r>
    </w:p>
    <w:p>
      <w:pPr>
        <w:ind w:left="424"/>
        <w:spacing w:line="219" w:lineRule="auto"/>
        <w:rPr>
          <w:rFonts w:ascii="SimSun" w:hAnsi="SimSun" w:eastAsia="SimSun" w:cs="SimSun"/>
          <w:sz w:val="21"/>
          <w:szCs w:val="21"/>
        </w:rPr>
      </w:pPr>
      <w:r>
        <w:rPr>
          <w:rFonts w:ascii="SimSun" w:hAnsi="SimSun" w:eastAsia="SimSun" w:cs="SimSun"/>
          <w:sz w:val="21"/>
          <w:szCs w:val="21"/>
        </w:rPr>
        <w:t>本文件适用于任何类型和规模的组织，不论其性质</w:t>
      </w:r>
      <w:r>
        <w:rPr>
          <w:rFonts w:ascii="SimSun" w:hAnsi="SimSun" w:eastAsia="SimSun" w:cs="SimSun"/>
          <w:sz w:val="21"/>
          <w:szCs w:val="21"/>
          <w:spacing w:val="-1"/>
        </w:rPr>
        <w:t>、规模以及所提供的产品和服务的种类。</w:t>
      </w:r>
    </w:p>
    <w:p>
      <w:pPr>
        <w:ind w:left="15" w:right="179" w:firstLine="409"/>
        <w:spacing w:before="158" w:line="359" w:lineRule="auto"/>
        <w:rPr>
          <w:rFonts w:ascii="SimSun" w:hAnsi="SimSun" w:eastAsia="SimSun" w:cs="SimSun"/>
          <w:sz w:val="21"/>
          <w:szCs w:val="21"/>
        </w:rPr>
      </w:pPr>
      <w:r>
        <w:rPr>
          <w:rFonts w:ascii="SimSun" w:hAnsi="SimSun" w:eastAsia="SimSun" w:cs="SimSun"/>
          <w:sz w:val="21"/>
          <w:szCs w:val="21"/>
          <w:spacing w:val="2"/>
        </w:rPr>
        <w:t>本文件可用于组织建立和实施风险管理体系，也可用于组织自我评价、第三方认证机构对组织风</w:t>
      </w:r>
      <w:r>
        <w:rPr>
          <w:rFonts w:ascii="SimSun" w:hAnsi="SimSun" w:eastAsia="SimSun" w:cs="SimSun"/>
          <w:sz w:val="21"/>
          <w:szCs w:val="21"/>
          <w:spacing w:val="-1"/>
        </w:rPr>
        <w:t>险管理体系进行认证或评价，以及相关方对组织风险管理能力进行评估。</w:t>
      </w:r>
    </w:p>
    <w:p>
      <w:pPr>
        <w:ind w:left="29" w:right="179" w:firstLine="395"/>
        <w:spacing w:before="2" w:line="359" w:lineRule="auto"/>
        <w:rPr>
          <w:rFonts w:ascii="SimSun" w:hAnsi="SimSun" w:eastAsia="SimSun" w:cs="SimSun"/>
          <w:sz w:val="21"/>
          <w:szCs w:val="21"/>
        </w:rPr>
      </w:pPr>
      <w:r>
        <w:rPr>
          <w:rFonts w:ascii="SimSun" w:hAnsi="SimSun" w:eastAsia="SimSun" w:cs="SimSun"/>
          <w:sz w:val="21"/>
          <w:szCs w:val="21"/>
          <w:spacing w:val="2"/>
        </w:rPr>
        <w:t>本文件提供的是适用于各类组织、各类风险以及组织全生命周期的通用要求，组织可根据自身的</w:t>
      </w:r>
      <w:r>
        <w:rPr>
          <w:rFonts w:ascii="SimSun" w:hAnsi="SimSun" w:eastAsia="SimSun" w:cs="SimSun"/>
          <w:sz w:val="21"/>
          <w:szCs w:val="21"/>
          <w:spacing w:val="-2"/>
        </w:rPr>
        <w:t>内外部环境和特定需求进行应用。</w:t>
      </w:r>
    </w:p>
    <w:p>
      <w:pPr>
        <w:ind w:left="424"/>
        <w:spacing w:before="1" w:line="233" w:lineRule="auto"/>
        <w:rPr>
          <w:rFonts w:ascii="SimSun" w:hAnsi="SimSun" w:eastAsia="SimSun" w:cs="SimSun"/>
          <w:sz w:val="21"/>
          <w:szCs w:val="21"/>
        </w:rPr>
      </w:pPr>
      <w:r>
        <w:rPr>
          <w:rFonts w:ascii="SimSun" w:hAnsi="SimSun" w:eastAsia="SimSun" w:cs="SimSun"/>
          <w:sz w:val="21"/>
          <w:szCs w:val="21"/>
          <w:spacing w:val="-1"/>
        </w:rPr>
        <w:t>本文件不增加、改变或以其他方式修改</w:t>
      </w:r>
      <w:r>
        <w:rPr>
          <w:rFonts w:ascii="SimSun" w:hAnsi="SimSun" w:eastAsia="SimSun" w:cs="SimSun"/>
          <w:sz w:val="21"/>
          <w:szCs w:val="21"/>
          <w:spacing w:val="-47"/>
        </w:rPr>
        <w:t xml:space="preserve"> </w:t>
      </w:r>
      <w:r>
        <w:rPr>
          <w:rFonts w:ascii="Times New Roman" w:hAnsi="Times New Roman" w:eastAsia="Times New Roman" w:cs="Times New Roman"/>
          <w:sz w:val="21"/>
          <w:szCs w:val="21"/>
          <w:spacing w:val="-1"/>
        </w:rPr>
        <w:t>GB/T</w:t>
      </w:r>
      <w:r>
        <w:rPr>
          <w:rFonts w:ascii="Times New Roman" w:hAnsi="Times New Roman" w:eastAsia="Times New Roman" w:cs="Times New Roman"/>
          <w:sz w:val="21"/>
          <w:szCs w:val="21"/>
          <w:spacing w:val="-2"/>
        </w:rPr>
        <w:t xml:space="preserve"> 24353</w:t>
      </w:r>
      <w:r>
        <w:rPr>
          <w:rFonts w:ascii="Times New Roman" w:hAnsi="Times New Roman" w:eastAsia="Times New Roman" w:cs="Times New Roman"/>
          <w:sz w:val="21"/>
          <w:szCs w:val="21"/>
          <w:spacing w:val="-31"/>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GB/T</w:t>
      </w:r>
      <w:r>
        <w:rPr>
          <w:rFonts w:ascii="Times New Roman" w:hAnsi="Times New Roman" w:eastAsia="Times New Roman" w:cs="Times New Roman"/>
          <w:sz w:val="21"/>
          <w:szCs w:val="21"/>
          <w:spacing w:val="23"/>
          <w:w w:val="101"/>
        </w:rPr>
        <w:t xml:space="preserve"> </w:t>
      </w:r>
      <w:r>
        <w:rPr>
          <w:rFonts w:ascii="Times New Roman" w:hAnsi="Times New Roman" w:eastAsia="Times New Roman" w:cs="Times New Roman"/>
          <w:sz w:val="21"/>
          <w:szCs w:val="21"/>
          <w:spacing w:val="-2"/>
        </w:rPr>
        <w:t>19000 </w:t>
      </w:r>
      <w:r>
        <w:rPr>
          <w:rFonts w:ascii="SimSun" w:hAnsi="SimSun" w:eastAsia="SimSun" w:cs="SimSun"/>
          <w:sz w:val="21"/>
          <w:szCs w:val="21"/>
          <w:spacing w:val="-2"/>
        </w:rPr>
        <w:t>族或任何其他标准的要求。</w:t>
      </w:r>
    </w:p>
    <w:p>
      <w:pPr>
        <w:pStyle w:val="BodyText"/>
        <w:spacing w:line="333" w:lineRule="auto"/>
        <w:rPr/>
      </w:pPr>
      <w:r/>
    </w:p>
    <w:p>
      <w:pPr>
        <w:spacing w:before="68" w:line="234" w:lineRule="auto"/>
        <w:outlineLvl w:val="0"/>
        <w:rPr>
          <w:rFonts w:ascii="SimHei" w:hAnsi="SimHei" w:eastAsia="SimHei" w:cs="SimHei"/>
          <w:sz w:val="21"/>
          <w:szCs w:val="21"/>
        </w:rPr>
      </w:pPr>
      <w:bookmarkStart w:name="bookmark3" w:id="4"/>
      <w:bookmarkEnd w:id="4"/>
      <w:r>
        <w:rPr>
          <w:rFonts w:ascii="Times New Roman" w:hAnsi="Times New Roman" w:eastAsia="Times New Roman" w:cs="Times New Roman"/>
          <w:sz w:val="21"/>
          <w:szCs w:val="21"/>
          <w:spacing w:val="-1"/>
        </w:rPr>
        <w:t>2 </w:t>
      </w:r>
      <w:r>
        <w:rPr>
          <w:rFonts w:ascii="SimHei" w:hAnsi="SimHei" w:eastAsia="SimHei" w:cs="SimHei"/>
          <w:sz w:val="21"/>
          <w:szCs w:val="21"/>
          <w:spacing w:val="-1"/>
        </w:rPr>
        <w:t>规范性引用文件</w:t>
      </w:r>
    </w:p>
    <w:p>
      <w:pPr>
        <w:ind w:left="2" w:right="175" w:firstLine="427"/>
        <w:spacing w:before="208" w:line="359" w:lineRule="auto"/>
        <w:jc w:val="both"/>
        <w:rPr>
          <w:rFonts w:ascii="SimSun" w:hAnsi="SimSun" w:eastAsia="SimSun" w:cs="SimSun"/>
          <w:sz w:val="21"/>
          <w:szCs w:val="21"/>
        </w:rPr>
      </w:pPr>
      <w:r>
        <w:rPr>
          <w:rFonts w:ascii="SimSun" w:hAnsi="SimSun" w:eastAsia="SimSun" w:cs="SimSun"/>
          <w:sz w:val="21"/>
          <w:szCs w:val="21"/>
          <w:spacing w:val="2"/>
        </w:rPr>
        <w:t>下列文件中的内容通过文中的规范性引用而构成本文件必不可少的条款。其中，注日期的引用文</w:t>
      </w:r>
      <w:r>
        <w:rPr>
          <w:rFonts w:ascii="SimSun" w:hAnsi="SimSun" w:eastAsia="SimSun" w:cs="SimSun"/>
          <w:sz w:val="21"/>
          <w:szCs w:val="21"/>
          <w:spacing w:val="2"/>
        </w:rPr>
        <w:t>件，仅该日期对应的版本适用于本文件；不注日期的引用文件，其最新版本（包括所有的修改单）适</w:t>
      </w:r>
      <w:r>
        <w:rPr>
          <w:rFonts w:ascii="SimSun" w:hAnsi="SimSun" w:eastAsia="SimSun" w:cs="SimSun"/>
          <w:sz w:val="21"/>
          <w:szCs w:val="21"/>
          <w:spacing w:val="-1"/>
        </w:rPr>
        <w:t>用于本文件。</w:t>
      </w:r>
    </w:p>
    <w:p>
      <w:pPr>
        <w:ind w:left="2" w:right="3169"/>
        <w:spacing w:line="535" w:lineRule="auto"/>
        <w:rPr>
          <w:rFonts w:ascii="SimSun" w:hAnsi="SimSun" w:eastAsia="SimSun" w:cs="SimSun"/>
          <w:sz w:val="21"/>
          <w:szCs w:val="21"/>
        </w:rPr>
      </w:pPr>
      <w:r>
        <w:rPr>
          <w:rFonts w:ascii="Times New Roman" w:hAnsi="Times New Roman" w:eastAsia="Times New Roman" w:cs="Times New Roman"/>
          <w:sz w:val="21"/>
          <w:szCs w:val="21"/>
          <w:spacing w:val="-2"/>
        </w:rPr>
        <w:t>GB/T</w:t>
      </w:r>
      <w:r>
        <w:rPr>
          <w:rFonts w:ascii="Times New Roman" w:hAnsi="Times New Roman" w:eastAsia="Times New Roman" w:cs="Times New Roman"/>
          <w:sz w:val="21"/>
          <w:szCs w:val="21"/>
          <w:spacing w:val="39"/>
          <w:w w:val="101"/>
        </w:rPr>
        <w:t xml:space="preserve"> </w:t>
      </w:r>
      <w:r>
        <w:rPr>
          <w:rFonts w:ascii="Times New Roman" w:hAnsi="Times New Roman" w:eastAsia="Times New Roman" w:cs="Times New Roman"/>
          <w:sz w:val="21"/>
          <w:szCs w:val="21"/>
          <w:spacing w:val="-2"/>
        </w:rPr>
        <w:t>19000—2016 </w:t>
      </w:r>
      <w:r>
        <w:rPr>
          <w:rFonts w:ascii="SimSun" w:hAnsi="SimSun" w:eastAsia="SimSun" w:cs="SimSun"/>
          <w:sz w:val="21"/>
          <w:szCs w:val="21"/>
          <w:spacing w:val="-2"/>
        </w:rPr>
        <w:t>质量管理体系</w:t>
      </w:r>
      <w:r>
        <w:rPr>
          <w:rFonts w:ascii="SimSun" w:hAnsi="SimSun" w:eastAsia="SimSun" w:cs="SimSun"/>
          <w:sz w:val="21"/>
          <w:szCs w:val="21"/>
          <w:spacing w:val="-46"/>
        </w:rPr>
        <w:t xml:space="preserve"> </w:t>
      </w:r>
      <w:r>
        <w:rPr>
          <w:rFonts w:ascii="SimSun" w:hAnsi="SimSun" w:eastAsia="SimSun" w:cs="SimSun"/>
          <w:sz w:val="21"/>
          <w:szCs w:val="21"/>
          <w:spacing w:val="-2"/>
        </w:rPr>
        <w:t>基础和术语（</w:t>
      </w:r>
      <w:r>
        <w:rPr>
          <w:rFonts w:ascii="Times New Roman" w:hAnsi="Times New Roman" w:eastAsia="Times New Roman" w:cs="Times New Roman"/>
          <w:sz w:val="21"/>
          <w:szCs w:val="21"/>
          <w:spacing w:val="-2"/>
        </w:rPr>
        <w:t>ISO 9000:2015</w:t>
      </w:r>
      <w:r>
        <w:rPr>
          <w:rFonts w:ascii="Times New Roman" w:hAnsi="Times New Roman" w:eastAsia="Times New Roman" w:cs="Times New Roman"/>
          <w:sz w:val="21"/>
          <w:szCs w:val="21"/>
          <w:spacing w:val="-29"/>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r>
        <w:rPr>
          <w:rFonts w:ascii="SimSun" w:hAnsi="SimSun" w:eastAsia="SimSun" w:cs="SimSun"/>
          <w:sz w:val="21"/>
          <w:szCs w:val="21"/>
        </w:rPr>
        <w:t xml:space="preserve"> </w:t>
      </w:r>
      <w:r>
        <w:rPr>
          <w:rFonts w:ascii="Times New Roman" w:hAnsi="Times New Roman" w:eastAsia="Times New Roman" w:cs="Times New Roman"/>
          <w:sz w:val="21"/>
          <w:szCs w:val="21"/>
          <w:spacing w:val="-1"/>
        </w:rPr>
        <w:t>GB/T 23694—2024 </w:t>
      </w:r>
      <w:r>
        <w:rPr>
          <w:rFonts w:ascii="SimSun" w:hAnsi="SimSun" w:eastAsia="SimSun" w:cs="SimSun"/>
          <w:sz w:val="21"/>
          <w:szCs w:val="21"/>
          <w:spacing w:val="-1"/>
        </w:rPr>
        <w:t>风险管理</w:t>
      </w:r>
      <w:r>
        <w:rPr>
          <w:rFonts w:ascii="SimSun" w:hAnsi="SimSun" w:eastAsia="SimSun" w:cs="SimSun"/>
          <w:sz w:val="21"/>
          <w:szCs w:val="21"/>
          <w:spacing w:val="-32"/>
        </w:rPr>
        <w:t xml:space="preserve"> </w:t>
      </w:r>
      <w:r>
        <w:rPr>
          <w:rFonts w:ascii="SimSun" w:hAnsi="SimSun" w:eastAsia="SimSun" w:cs="SimSun"/>
          <w:sz w:val="21"/>
          <w:szCs w:val="21"/>
          <w:spacing w:val="-1"/>
        </w:rPr>
        <w:t>术语</w:t>
      </w:r>
    </w:p>
    <w:p>
      <w:pPr>
        <w:ind w:left="2"/>
        <w:spacing w:before="1" w:line="234" w:lineRule="auto"/>
        <w:rPr>
          <w:rFonts w:ascii="SimSun" w:hAnsi="SimSun" w:eastAsia="SimSun" w:cs="SimSun"/>
          <w:sz w:val="21"/>
          <w:szCs w:val="21"/>
        </w:rPr>
      </w:pPr>
      <w:r>
        <w:rPr>
          <w:rFonts w:ascii="Times New Roman" w:hAnsi="Times New Roman" w:eastAsia="Times New Roman" w:cs="Times New Roman"/>
          <w:sz w:val="21"/>
          <w:szCs w:val="21"/>
          <w:spacing w:val="-1"/>
        </w:rPr>
        <w:t>GB/T 24353—2022 </w:t>
      </w:r>
      <w:r>
        <w:rPr>
          <w:rFonts w:ascii="SimSun" w:hAnsi="SimSun" w:eastAsia="SimSun" w:cs="SimSun"/>
          <w:sz w:val="21"/>
          <w:szCs w:val="21"/>
          <w:spacing w:val="-1"/>
        </w:rPr>
        <w:t>风险管理</w:t>
      </w:r>
      <w:r>
        <w:rPr>
          <w:rFonts w:ascii="SimSun" w:hAnsi="SimSun" w:eastAsia="SimSun" w:cs="SimSun"/>
          <w:sz w:val="21"/>
          <w:szCs w:val="21"/>
          <w:spacing w:val="-39"/>
        </w:rPr>
        <w:t xml:space="preserve"> </w:t>
      </w:r>
      <w:r>
        <w:rPr>
          <w:rFonts w:ascii="SimSun" w:hAnsi="SimSun" w:eastAsia="SimSun" w:cs="SimSun"/>
          <w:sz w:val="21"/>
          <w:szCs w:val="21"/>
          <w:spacing w:val="-1"/>
        </w:rPr>
        <w:t>指南（</w:t>
      </w:r>
      <w:r>
        <w:rPr>
          <w:rFonts w:ascii="Times New Roman" w:hAnsi="Times New Roman" w:eastAsia="Times New Roman" w:cs="Times New Roman"/>
          <w:sz w:val="21"/>
          <w:szCs w:val="21"/>
          <w:spacing w:val="-1"/>
        </w:rPr>
        <w:t>ISO 31000:2018</w:t>
      </w:r>
      <w:r>
        <w:rPr>
          <w:rFonts w:ascii="Times New Roman" w:hAnsi="Times New Roman" w:eastAsia="Times New Roman" w:cs="Times New Roman"/>
          <w:sz w:val="21"/>
          <w:szCs w:val="21"/>
          <w:spacing w:val="-30"/>
        </w:rPr>
        <w:t xml:space="preserve"> </w:t>
      </w:r>
      <w:r>
        <w:rPr>
          <w:rFonts w:ascii="SimSun" w:hAnsi="SimSun" w:eastAsia="SimSun" w:cs="SimSun"/>
          <w:sz w:val="21"/>
          <w:szCs w:val="21"/>
          <w:spacing w:val="-1"/>
        </w:rPr>
        <w:t>，</w:t>
      </w:r>
      <w:r>
        <w:rPr>
          <w:rFonts w:ascii="Times New Roman" w:hAnsi="Times New Roman" w:eastAsia="Times New Roman" w:cs="Times New Roman"/>
          <w:sz w:val="21"/>
          <w:szCs w:val="21"/>
          <w:spacing w:val="-1"/>
        </w:rPr>
        <w:t>IDT</w:t>
      </w:r>
      <w:r>
        <w:rPr>
          <w:rFonts w:ascii="SimSun" w:hAnsi="SimSun" w:eastAsia="SimSun" w:cs="SimSun"/>
          <w:sz w:val="21"/>
          <w:szCs w:val="21"/>
          <w:spacing w:val="-1"/>
        </w:rPr>
        <w:t>）</w:t>
      </w:r>
    </w:p>
    <w:p>
      <w:pPr>
        <w:pStyle w:val="BodyText"/>
        <w:spacing w:line="272" w:lineRule="auto"/>
        <w:rPr/>
      </w:pPr>
      <w:r/>
    </w:p>
    <w:p>
      <w:pPr>
        <w:ind w:left="2"/>
        <w:spacing w:before="69" w:line="233" w:lineRule="auto"/>
        <w:rPr>
          <w:rFonts w:ascii="SimSun" w:hAnsi="SimSun" w:eastAsia="SimSun" w:cs="SimSun"/>
          <w:sz w:val="21"/>
          <w:szCs w:val="21"/>
        </w:rPr>
      </w:pPr>
      <w:r>
        <w:rPr>
          <w:rFonts w:ascii="Times New Roman" w:hAnsi="Times New Roman" w:eastAsia="Times New Roman" w:cs="Times New Roman"/>
          <w:sz w:val="21"/>
          <w:szCs w:val="21"/>
          <w:spacing w:val="-1"/>
        </w:rPr>
        <w:t>GB/T 27921—2023 </w:t>
      </w:r>
      <w:r>
        <w:rPr>
          <w:rFonts w:ascii="SimSun" w:hAnsi="SimSun" w:eastAsia="SimSun" w:cs="SimSun"/>
          <w:sz w:val="21"/>
          <w:szCs w:val="21"/>
          <w:spacing w:val="-1"/>
        </w:rPr>
        <w:t>风险管理</w:t>
      </w:r>
      <w:r>
        <w:rPr>
          <w:rFonts w:ascii="SimSun" w:hAnsi="SimSun" w:eastAsia="SimSun" w:cs="SimSun"/>
          <w:sz w:val="21"/>
          <w:szCs w:val="21"/>
          <w:spacing w:val="-32"/>
        </w:rPr>
        <w:t xml:space="preserve"> </w:t>
      </w:r>
      <w:r>
        <w:rPr>
          <w:rFonts w:ascii="SimSun" w:hAnsi="SimSun" w:eastAsia="SimSun" w:cs="SimSun"/>
          <w:sz w:val="21"/>
          <w:szCs w:val="21"/>
          <w:spacing w:val="-1"/>
        </w:rPr>
        <w:t>风险评估技术</w:t>
      </w:r>
    </w:p>
    <w:p>
      <w:pPr>
        <w:pStyle w:val="BodyText"/>
        <w:spacing w:line="334" w:lineRule="auto"/>
        <w:rPr/>
      </w:pPr>
      <w:r/>
    </w:p>
    <w:p>
      <w:pPr>
        <w:ind w:left="4"/>
        <w:spacing w:before="69" w:line="234" w:lineRule="auto"/>
        <w:outlineLvl w:val="0"/>
        <w:rPr>
          <w:rFonts w:ascii="SimHei" w:hAnsi="SimHei" w:eastAsia="SimHei" w:cs="SimHei"/>
          <w:sz w:val="21"/>
          <w:szCs w:val="21"/>
        </w:rPr>
      </w:pPr>
      <w:bookmarkStart w:name="bookmark4" w:id="5"/>
      <w:bookmarkEnd w:id="5"/>
      <w:r>
        <w:rPr>
          <w:rFonts w:ascii="Times New Roman" w:hAnsi="Times New Roman" w:eastAsia="Times New Roman" w:cs="Times New Roman"/>
          <w:sz w:val="21"/>
          <w:szCs w:val="21"/>
          <w:spacing w:val="-1"/>
        </w:rPr>
        <w:t>3 </w:t>
      </w:r>
      <w:r>
        <w:rPr>
          <w:rFonts w:ascii="SimHei" w:hAnsi="SimHei" w:eastAsia="SimHei" w:cs="SimHei"/>
          <w:sz w:val="21"/>
          <w:szCs w:val="21"/>
          <w:spacing w:val="-1"/>
        </w:rPr>
        <w:t>术语和定义</w:t>
      </w:r>
    </w:p>
    <w:p>
      <w:pPr>
        <w:ind w:left="422"/>
        <w:spacing w:before="204" w:line="234" w:lineRule="auto"/>
        <w:rPr>
          <w:rFonts w:ascii="SimSun" w:hAnsi="SimSun" w:eastAsia="SimSun" w:cs="SimSun"/>
          <w:sz w:val="21"/>
          <w:szCs w:val="21"/>
        </w:rPr>
      </w:pPr>
      <w:r>
        <w:rPr>
          <w:rFonts w:ascii="Times New Roman" w:hAnsi="Times New Roman" w:eastAsia="Times New Roman" w:cs="Times New Roman"/>
          <w:sz w:val="21"/>
          <w:szCs w:val="21"/>
          <w:spacing w:val="-1"/>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1"/>
        </w:rPr>
        <w:t>19000—2016 </w:t>
      </w:r>
      <w:r>
        <w:rPr>
          <w:rFonts w:ascii="SimSun" w:hAnsi="SimSun" w:eastAsia="SimSun" w:cs="SimSun"/>
          <w:sz w:val="21"/>
          <w:szCs w:val="21"/>
          <w:spacing w:val="-1"/>
        </w:rPr>
        <w:t>和</w:t>
      </w:r>
      <w:r>
        <w:rPr>
          <w:rFonts w:ascii="SimSun" w:hAnsi="SimSun" w:eastAsia="SimSun" w:cs="SimSun"/>
          <w:sz w:val="21"/>
          <w:szCs w:val="21"/>
          <w:spacing w:val="-45"/>
        </w:rPr>
        <w:t xml:space="preserve"> </w:t>
      </w:r>
      <w:r>
        <w:rPr>
          <w:rFonts w:ascii="Times New Roman" w:hAnsi="Times New Roman" w:eastAsia="Times New Roman" w:cs="Times New Roman"/>
          <w:sz w:val="21"/>
          <w:szCs w:val="21"/>
          <w:spacing w:val="-1"/>
        </w:rPr>
        <w:t>GB/T 236</w:t>
      </w:r>
      <w:r>
        <w:rPr>
          <w:rFonts w:ascii="Times New Roman" w:hAnsi="Times New Roman" w:eastAsia="Times New Roman" w:cs="Times New Roman"/>
          <w:sz w:val="21"/>
          <w:szCs w:val="21"/>
          <w:spacing w:val="-2"/>
        </w:rPr>
        <w:t>94—2024 </w:t>
      </w:r>
      <w:r>
        <w:rPr>
          <w:rFonts w:ascii="SimSun" w:hAnsi="SimSun" w:eastAsia="SimSun" w:cs="SimSun"/>
          <w:sz w:val="21"/>
          <w:szCs w:val="21"/>
          <w:spacing w:val="-2"/>
        </w:rPr>
        <w:t>界定的以及下列术语和定义适用于本文件。</w:t>
      </w:r>
    </w:p>
    <w:p>
      <w:pPr>
        <w:ind w:left="4"/>
        <w:spacing w:before="28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w:t>
      </w:r>
    </w:p>
    <w:p>
      <w:pPr>
        <w:pStyle w:val="BodyText"/>
        <w:spacing w:line="241" w:lineRule="auto"/>
        <w:rPr/>
      </w:pPr>
      <w:r/>
    </w:p>
    <w:p>
      <w:pPr>
        <w:ind w:left="424"/>
        <w:spacing w:before="69" w:line="234" w:lineRule="auto"/>
        <w:rPr>
          <w:rFonts w:ascii="Times New Roman" w:hAnsi="Times New Roman" w:eastAsia="Times New Roman" w:cs="Times New Roman"/>
          <w:sz w:val="21"/>
          <w:szCs w:val="21"/>
        </w:rPr>
      </w:pPr>
      <w:r>
        <w:rPr>
          <w:rFonts w:ascii="SimHei" w:hAnsi="SimHei" w:eastAsia="SimHei" w:cs="SimHei"/>
          <w:sz w:val="21"/>
          <w:szCs w:val="21"/>
          <w:spacing w:val="-1"/>
        </w:rPr>
        <w:t>风险</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risk</w:t>
      </w:r>
    </w:p>
    <w:p>
      <w:pPr>
        <w:pStyle w:val="BodyText"/>
        <w:spacing w:line="271" w:lineRule="auto"/>
        <w:rPr/>
      </w:pPr>
      <w:r/>
    </w:p>
    <w:p>
      <w:pPr>
        <w:ind w:left="427"/>
        <w:spacing w:before="69" w:line="221" w:lineRule="auto"/>
        <w:rPr>
          <w:rFonts w:ascii="SimSun" w:hAnsi="SimSun" w:eastAsia="SimSun" w:cs="SimSun"/>
          <w:sz w:val="21"/>
          <w:szCs w:val="21"/>
        </w:rPr>
      </w:pPr>
      <w:r>
        <w:rPr>
          <w:rFonts w:ascii="SimSun" w:hAnsi="SimSun" w:eastAsia="SimSun" w:cs="SimSun"/>
          <w:sz w:val="21"/>
          <w:szCs w:val="21"/>
          <w:spacing w:val="-3"/>
        </w:rPr>
        <w:t>不确定性对目标的影响。</w:t>
      </w:r>
    </w:p>
    <w:p>
      <w:pPr>
        <w:pStyle w:val="BodyText"/>
        <w:spacing w:line="287" w:lineRule="auto"/>
        <w:rPr/>
      </w:pPr>
      <w:r/>
    </w:p>
    <w:p>
      <w:pPr>
        <w:ind w:left="423"/>
        <w:spacing w:before="68" w:line="234" w:lineRule="auto"/>
        <w:rPr>
          <w:rFonts w:ascii="SimSun" w:hAnsi="SimSun" w:eastAsia="SimSun" w:cs="SimSun"/>
          <w:sz w:val="21"/>
          <w:szCs w:val="21"/>
        </w:rPr>
      </w:pPr>
      <w:r>
        <w:rPr>
          <w:rFonts w:ascii="SimSun" w:hAnsi="SimSun" w:eastAsia="SimSun" w:cs="SimSun"/>
          <w:sz w:val="21"/>
          <w:szCs w:val="21"/>
          <w:spacing w:val="-2"/>
        </w:rPr>
        <w:t>注</w:t>
      </w:r>
      <w:r>
        <w:rPr>
          <w:rFonts w:ascii="SimSun" w:hAnsi="SimSun" w:eastAsia="SimSun" w:cs="SimSun"/>
          <w:sz w:val="21"/>
          <w:szCs w:val="21"/>
          <w:spacing w:val="-28"/>
        </w:rPr>
        <w:t xml:space="preserve"> </w:t>
      </w:r>
      <w:r>
        <w:rPr>
          <w:rFonts w:ascii="Times New Roman" w:hAnsi="Times New Roman" w:eastAsia="Times New Roman" w:cs="Times New Roman"/>
          <w:sz w:val="21"/>
          <w:szCs w:val="21"/>
          <w:spacing w:val="-2"/>
        </w:rPr>
        <w:t>1</w:t>
      </w:r>
      <w:r>
        <w:rPr>
          <w:rFonts w:ascii="Times New Roman" w:hAnsi="Times New Roman" w:eastAsia="Times New Roman" w:cs="Times New Roman"/>
          <w:sz w:val="21"/>
          <w:szCs w:val="21"/>
          <w:spacing w:val="-26"/>
        </w:rPr>
        <w:t xml:space="preserve"> </w:t>
      </w:r>
      <w:r>
        <w:rPr>
          <w:rFonts w:ascii="SimSun" w:hAnsi="SimSun" w:eastAsia="SimSun" w:cs="SimSun"/>
          <w:sz w:val="21"/>
          <w:szCs w:val="21"/>
          <w:spacing w:val="-2"/>
        </w:rPr>
        <w:t>：影响可能是正面的（机会）或负面的（威胁</w:t>
      </w:r>
      <w:r>
        <w:rPr>
          <w:rFonts w:ascii="SimSun" w:hAnsi="SimSun" w:eastAsia="SimSun" w:cs="SimSun"/>
          <w:sz w:val="21"/>
          <w:szCs w:val="21"/>
          <w:spacing w:val="3"/>
        </w:rPr>
        <w:t>），</w:t>
      </w:r>
      <w:r>
        <w:rPr>
          <w:rFonts w:ascii="SimSun" w:hAnsi="SimSun" w:eastAsia="SimSun" w:cs="SimSun"/>
          <w:sz w:val="21"/>
          <w:szCs w:val="21"/>
          <w:spacing w:val="-2"/>
        </w:rPr>
        <w:t>是对预期的偏离。</w:t>
      </w:r>
    </w:p>
    <w:p>
      <w:pPr>
        <w:ind w:left="423"/>
        <w:spacing w:before="88" w:line="234" w:lineRule="auto"/>
        <w:rPr>
          <w:rFonts w:ascii="SimSun" w:hAnsi="SimSun" w:eastAsia="SimSun" w:cs="SimSun"/>
          <w:sz w:val="21"/>
          <w:szCs w:val="21"/>
        </w:rPr>
      </w:pPr>
      <w:r>
        <w:rPr>
          <w:rFonts w:ascii="SimSun" w:hAnsi="SimSun" w:eastAsia="SimSun" w:cs="SimSun"/>
          <w:sz w:val="21"/>
          <w:szCs w:val="21"/>
          <w:spacing w:val="-1"/>
        </w:rPr>
        <w:t>注</w:t>
      </w:r>
      <w:r>
        <w:rPr>
          <w:rFonts w:ascii="SimSun" w:hAnsi="SimSun" w:eastAsia="SimSun" w:cs="SimSun"/>
          <w:sz w:val="21"/>
          <w:szCs w:val="21"/>
          <w:spacing w:val="-48"/>
        </w:rPr>
        <w:t xml:space="preserve"> </w:t>
      </w:r>
      <w:r>
        <w:rPr>
          <w:rFonts w:ascii="Times New Roman" w:hAnsi="Times New Roman" w:eastAsia="Times New Roman" w:cs="Times New Roman"/>
          <w:sz w:val="21"/>
          <w:szCs w:val="21"/>
          <w:spacing w:val="-1"/>
        </w:rPr>
        <w:t>2</w:t>
      </w:r>
      <w:r>
        <w:rPr>
          <w:rFonts w:ascii="Times New Roman" w:hAnsi="Times New Roman" w:eastAsia="Times New Roman" w:cs="Times New Roman"/>
          <w:sz w:val="21"/>
          <w:szCs w:val="21"/>
          <w:spacing w:val="-26"/>
        </w:rPr>
        <w:t xml:space="preserve"> </w:t>
      </w:r>
      <w:r>
        <w:rPr>
          <w:rFonts w:ascii="SimSun" w:hAnsi="SimSun" w:eastAsia="SimSun" w:cs="SimSun"/>
          <w:sz w:val="21"/>
          <w:szCs w:val="21"/>
          <w:spacing w:val="-1"/>
        </w:rPr>
        <w:t>：风险通常用风险源、潜在事件、后果及其可</w:t>
      </w:r>
      <w:r>
        <w:rPr>
          <w:rFonts w:ascii="SimSun" w:hAnsi="SimSun" w:eastAsia="SimSun" w:cs="SimSun"/>
          <w:sz w:val="21"/>
          <w:szCs w:val="21"/>
          <w:spacing w:val="-2"/>
        </w:rPr>
        <w:t>能性来描述。</w:t>
      </w:r>
    </w:p>
    <w:p>
      <w:pPr>
        <w:pStyle w:val="BodyText"/>
        <w:spacing w:line="244" w:lineRule="auto"/>
        <w:rPr/>
      </w:pPr>
      <w:r/>
    </w:p>
    <w:p>
      <w:pPr>
        <w:ind w:left="4"/>
        <w:spacing w:before="60"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3.2</w:t>
      </w:r>
    </w:p>
    <w:p>
      <w:pPr>
        <w:ind w:left="424"/>
        <w:spacing w:before="310" w:line="213" w:lineRule="auto"/>
        <w:rPr>
          <w:rFonts w:ascii="Times New Roman" w:hAnsi="Times New Roman" w:eastAsia="Times New Roman" w:cs="Times New Roman"/>
          <w:sz w:val="21"/>
          <w:szCs w:val="21"/>
        </w:rPr>
      </w:pPr>
      <w:r>
        <w:rPr>
          <w:rFonts w:ascii="SimHei" w:hAnsi="SimHei" w:eastAsia="SimHei" w:cs="SimHei"/>
          <w:sz w:val="21"/>
          <w:szCs w:val="21"/>
          <w:spacing w:val="-1"/>
        </w:rPr>
        <w:t>风险管理</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risk management</w:t>
      </w:r>
    </w:p>
    <w:p>
      <w:pPr>
        <w:pStyle w:val="BodyText"/>
        <w:spacing w:line="297" w:lineRule="auto"/>
        <w:rPr/>
      </w:pPr>
      <w:r/>
    </w:p>
    <w:p>
      <w:pPr>
        <w:ind w:left="426"/>
        <w:spacing w:before="68" w:line="221" w:lineRule="auto"/>
        <w:rPr>
          <w:rFonts w:ascii="SimSun" w:hAnsi="SimSun" w:eastAsia="SimSun" w:cs="SimSun"/>
          <w:sz w:val="21"/>
          <w:szCs w:val="21"/>
        </w:rPr>
      </w:pPr>
      <w:r>
        <w:rPr>
          <w:rFonts w:ascii="SimSun" w:hAnsi="SimSun" w:eastAsia="SimSun" w:cs="SimSun"/>
          <w:sz w:val="21"/>
          <w:szCs w:val="21"/>
          <w:spacing w:val="-2"/>
        </w:rPr>
        <w:t>指导和控制组织与风险相关的协调活动。</w:t>
      </w:r>
    </w:p>
    <w:p>
      <w:pPr>
        <w:spacing w:line="221" w:lineRule="auto"/>
        <w:sectPr>
          <w:headerReference w:type="default" r:id="rId6"/>
          <w:footerReference w:type="default" r:id="rId7"/>
          <w:pgSz w:w="11907" w:h="16839"/>
          <w:pgMar w:top="1028" w:right="962" w:bottom="880" w:left="1420" w:header="703" w:footer="680" w:gutter="0"/>
        </w:sectPr>
        <w:rPr>
          <w:rFonts w:ascii="SimSun" w:hAnsi="SimSun" w:eastAsia="SimSun" w:cs="SimSun"/>
          <w:sz w:val="21"/>
          <w:szCs w:val="21"/>
        </w:rPr>
      </w:pPr>
    </w:p>
    <w:p>
      <w:pPr>
        <w:spacing w:before="154"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3.3</w:t>
      </w:r>
    </w:p>
    <w:p>
      <w:pPr>
        <w:pStyle w:val="BodyText"/>
        <w:spacing w:line="242" w:lineRule="auto"/>
        <w:rPr/>
      </w:pPr>
      <w:r/>
    </w:p>
    <w:p>
      <w:pPr>
        <w:ind w:left="420"/>
        <w:spacing w:before="68" w:line="213" w:lineRule="auto"/>
        <w:rPr>
          <w:rFonts w:ascii="Times New Roman" w:hAnsi="Times New Roman" w:eastAsia="Times New Roman" w:cs="Times New Roman"/>
          <w:sz w:val="21"/>
          <w:szCs w:val="21"/>
        </w:rPr>
      </w:pPr>
      <w:r>
        <w:rPr>
          <w:rFonts w:ascii="SimHei" w:hAnsi="SimHei" w:eastAsia="SimHei" w:cs="SimHei"/>
          <w:sz w:val="21"/>
          <w:szCs w:val="21"/>
        </w:rPr>
        <w:t>风险管理框架</w:t>
      </w:r>
      <w:r>
        <w:rPr>
          <w:rFonts w:ascii="SimHei" w:hAnsi="SimHei" w:eastAsia="SimHei" w:cs="SimHei"/>
          <w:sz w:val="21"/>
          <w:szCs w:val="21"/>
        </w:rPr>
        <w:t xml:space="preserve"> </w:t>
      </w:r>
      <w:r>
        <w:rPr>
          <w:rFonts w:ascii="Times New Roman" w:hAnsi="Times New Roman" w:eastAsia="Times New Roman" w:cs="Times New Roman"/>
          <w:sz w:val="21"/>
          <w:szCs w:val="21"/>
        </w:rPr>
        <w:t>risk management fra</w:t>
      </w:r>
      <w:r>
        <w:rPr>
          <w:rFonts w:ascii="Times New Roman" w:hAnsi="Times New Roman" w:eastAsia="Times New Roman" w:cs="Times New Roman"/>
          <w:sz w:val="21"/>
          <w:szCs w:val="21"/>
          <w:spacing w:val="-1"/>
        </w:rPr>
        <w:t>mework</w:t>
      </w:r>
    </w:p>
    <w:p>
      <w:pPr>
        <w:pStyle w:val="BodyText"/>
        <w:spacing w:line="294" w:lineRule="auto"/>
        <w:rPr/>
      </w:pPr>
      <w:r/>
    </w:p>
    <w:p>
      <w:pPr>
        <w:ind w:left="422"/>
        <w:spacing w:before="68" w:line="220" w:lineRule="auto"/>
        <w:rPr>
          <w:rFonts w:ascii="SimSun" w:hAnsi="SimSun" w:eastAsia="SimSun" w:cs="SimSun"/>
          <w:sz w:val="21"/>
          <w:szCs w:val="21"/>
        </w:rPr>
      </w:pPr>
      <w:r>
        <w:rPr>
          <w:rFonts w:ascii="SimSun" w:hAnsi="SimSun" w:eastAsia="SimSun" w:cs="SimSun"/>
          <w:sz w:val="21"/>
          <w:szCs w:val="21"/>
          <w:spacing w:val="-1"/>
        </w:rPr>
        <w:t>为在整个组织中整合风险管理而提供基础和组织安排的一组组成部分。</w:t>
      </w:r>
    </w:p>
    <w:p>
      <w:pPr>
        <w:pStyle w:val="BodyText"/>
        <w:spacing w:line="315" w:lineRule="auto"/>
        <w:rPr/>
      </w:pPr>
      <w:r/>
    </w:p>
    <w:p>
      <w:pPr>
        <w:spacing w:before="60"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3.4</w:t>
      </w:r>
    </w:p>
    <w:p>
      <w:pPr>
        <w:ind w:left="420"/>
        <w:spacing w:before="309" w:line="213" w:lineRule="auto"/>
        <w:rPr>
          <w:rFonts w:ascii="Times New Roman" w:hAnsi="Times New Roman" w:eastAsia="Times New Roman" w:cs="Times New Roman"/>
          <w:sz w:val="21"/>
          <w:szCs w:val="21"/>
        </w:rPr>
      </w:pPr>
      <w:r>
        <w:rPr>
          <w:rFonts w:ascii="SimHei" w:hAnsi="SimHei" w:eastAsia="SimHei" w:cs="SimHei"/>
          <w:sz w:val="21"/>
          <w:szCs w:val="21"/>
        </w:rPr>
        <w:t>风险管理过程</w:t>
      </w:r>
      <w:r>
        <w:rPr>
          <w:rFonts w:ascii="SimHei" w:hAnsi="SimHei" w:eastAsia="SimHei" w:cs="SimHei"/>
          <w:sz w:val="21"/>
          <w:szCs w:val="21"/>
        </w:rPr>
        <w:t xml:space="preserve"> </w:t>
      </w:r>
      <w:r>
        <w:rPr>
          <w:rFonts w:ascii="Times New Roman" w:hAnsi="Times New Roman" w:eastAsia="Times New Roman" w:cs="Times New Roman"/>
          <w:sz w:val="21"/>
          <w:szCs w:val="21"/>
        </w:rPr>
        <w:t>risk management </w:t>
      </w:r>
      <w:r>
        <w:rPr>
          <w:rFonts w:ascii="Times New Roman" w:hAnsi="Times New Roman" w:eastAsia="Times New Roman" w:cs="Times New Roman"/>
          <w:sz w:val="21"/>
          <w:szCs w:val="21"/>
          <w:spacing w:val="-1"/>
        </w:rPr>
        <w:t>process</w:t>
      </w:r>
    </w:p>
    <w:p>
      <w:pPr>
        <w:pStyle w:val="BodyText"/>
        <w:spacing w:line="294" w:lineRule="auto"/>
        <w:rPr/>
      </w:pPr>
      <w:r/>
    </w:p>
    <w:p>
      <w:pPr>
        <w:ind w:left="422" w:right="106" w:hanging="5"/>
        <w:spacing w:before="69" w:line="363" w:lineRule="auto"/>
        <w:rPr>
          <w:rFonts w:ascii="SimSun" w:hAnsi="SimSun" w:eastAsia="SimSun" w:cs="SimSun"/>
          <w:sz w:val="21"/>
          <w:szCs w:val="21"/>
        </w:rPr>
      </w:pPr>
      <w:r>
        <w:rPr>
          <w:rFonts w:ascii="SimSun" w:hAnsi="SimSun" w:eastAsia="SimSun" w:cs="SimSun"/>
          <w:sz w:val="21"/>
          <w:szCs w:val="21"/>
        </w:rPr>
        <w:t>将管理政策、程序和实践系统地应用于沟通与咨询、建立环境以及识别、分析、评价、应对与监</w:t>
      </w:r>
      <w:r>
        <w:rPr>
          <w:rFonts w:ascii="SimSun" w:hAnsi="SimSun" w:eastAsia="SimSun" w:cs="SimSun"/>
          <w:sz w:val="21"/>
          <w:szCs w:val="21"/>
          <w:spacing w:val="-3"/>
        </w:rPr>
        <w:t>督风险的协调活动。</w:t>
      </w:r>
    </w:p>
    <w:p>
      <w:pPr>
        <w:spacing w:before="21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3.5</w:t>
      </w:r>
    </w:p>
    <w:p>
      <w:pPr>
        <w:pStyle w:val="BodyText"/>
        <w:spacing w:line="241" w:lineRule="auto"/>
        <w:rPr/>
      </w:pPr>
      <w:r/>
    </w:p>
    <w:p>
      <w:pPr>
        <w:ind w:left="420"/>
        <w:spacing w:before="68" w:line="233" w:lineRule="auto"/>
        <w:rPr>
          <w:rFonts w:ascii="Times New Roman" w:hAnsi="Times New Roman" w:eastAsia="Times New Roman" w:cs="Times New Roman"/>
          <w:sz w:val="21"/>
          <w:szCs w:val="21"/>
        </w:rPr>
      </w:pPr>
      <w:r>
        <w:rPr>
          <w:rFonts w:ascii="SimHei" w:hAnsi="SimHei" w:eastAsia="SimHei" w:cs="SimHei"/>
          <w:sz w:val="21"/>
          <w:szCs w:val="21"/>
          <w:spacing w:val="-1"/>
        </w:rPr>
        <w:t>风险源</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risk source</w:t>
      </w:r>
    </w:p>
    <w:p>
      <w:pPr>
        <w:pStyle w:val="BodyText"/>
        <w:spacing w:line="271" w:lineRule="auto"/>
        <w:rPr/>
      </w:pPr>
      <w:r/>
    </w:p>
    <w:p>
      <w:pPr>
        <w:ind w:left="421"/>
        <w:spacing w:before="69" w:line="221" w:lineRule="auto"/>
        <w:rPr>
          <w:rFonts w:ascii="SimSun" w:hAnsi="SimSun" w:eastAsia="SimSun" w:cs="SimSun"/>
          <w:sz w:val="21"/>
          <w:szCs w:val="21"/>
        </w:rPr>
      </w:pPr>
      <w:r>
        <w:rPr>
          <w:rFonts w:ascii="SimSun" w:hAnsi="SimSun" w:eastAsia="SimSun" w:cs="SimSun"/>
          <w:sz w:val="21"/>
          <w:szCs w:val="21"/>
          <w:spacing w:val="-1"/>
        </w:rPr>
        <w:t>可能单独或共同引发风险的要素。</w:t>
      </w:r>
    </w:p>
    <w:p>
      <w:pPr>
        <w:pStyle w:val="BodyText"/>
        <w:spacing w:line="314" w:lineRule="auto"/>
        <w:rPr/>
      </w:pPr>
      <w:r/>
    </w:p>
    <w:p>
      <w:pPr>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3.6</w:t>
      </w:r>
    </w:p>
    <w:p>
      <w:pPr>
        <w:ind w:left="425"/>
        <w:spacing w:before="309" w:line="235" w:lineRule="auto"/>
        <w:rPr>
          <w:rFonts w:ascii="Times New Roman" w:hAnsi="Times New Roman" w:eastAsia="Times New Roman" w:cs="Times New Roman"/>
          <w:sz w:val="21"/>
          <w:szCs w:val="21"/>
        </w:rPr>
      </w:pPr>
      <w:r>
        <w:rPr>
          <w:rFonts w:ascii="SimHei" w:hAnsi="SimHei" w:eastAsia="SimHei" w:cs="SimHei"/>
          <w:sz w:val="21"/>
          <w:szCs w:val="21"/>
          <w:spacing w:val="-3"/>
        </w:rPr>
        <w:t>事件</w:t>
      </w:r>
      <w:r>
        <w:rPr>
          <w:rFonts w:ascii="SimHei" w:hAnsi="SimHei" w:eastAsia="SimHei" w:cs="SimHei"/>
          <w:sz w:val="21"/>
          <w:szCs w:val="21"/>
          <w:spacing w:val="9"/>
        </w:rPr>
        <w:t xml:space="preserve"> </w:t>
      </w:r>
      <w:r>
        <w:rPr>
          <w:rFonts w:ascii="Times New Roman" w:hAnsi="Times New Roman" w:eastAsia="Times New Roman" w:cs="Times New Roman"/>
          <w:sz w:val="21"/>
          <w:szCs w:val="21"/>
          <w:spacing w:val="-3"/>
        </w:rPr>
        <w:t>event</w:t>
      </w:r>
    </w:p>
    <w:p>
      <w:pPr>
        <w:pStyle w:val="BodyText"/>
        <w:spacing w:line="272" w:lineRule="auto"/>
        <w:rPr/>
      </w:pPr>
      <w:r/>
    </w:p>
    <w:p>
      <w:pPr>
        <w:ind w:left="419"/>
        <w:spacing w:before="69" w:line="221" w:lineRule="auto"/>
        <w:rPr>
          <w:rFonts w:ascii="SimSun" w:hAnsi="SimSun" w:eastAsia="SimSun" w:cs="SimSun"/>
          <w:sz w:val="21"/>
          <w:szCs w:val="21"/>
        </w:rPr>
      </w:pPr>
      <w:r>
        <w:rPr>
          <w:rFonts w:ascii="SimSun" w:hAnsi="SimSun" w:eastAsia="SimSun" w:cs="SimSun"/>
          <w:sz w:val="21"/>
          <w:szCs w:val="21"/>
          <w:spacing w:val="-2"/>
        </w:rPr>
        <w:t>某些特定情形的产生或变化。</w:t>
      </w:r>
    </w:p>
    <w:p>
      <w:pPr>
        <w:pStyle w:val="BodyText"/>
        <w:spacing w:line="312" w:lineRule="auto"/>
        <w:rPr/>
      </w:pPr>
      <w:r/>
    </w:p>
    <w:p>
      <w:pPr>
        <w:spacing w:before="60"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3.7</w:t>
      </w:r>
    </w:p>
    <w:p>
      <w:pPr>
        <w:ind w:left="418"/>
        <w:spacing w:before="309" w:line="214" w:lineRule="auto"/>
        <w:rPr>
          <w:rFonts w:ascii="Times New Roman" w:hAnsi="Times New Roman" w:eastAsia="Times New Roman" w:cs="Times New Roman"/>
          <w:sz w:val="21"/>
          <w:szCs w:val="21"/>
        </w:rPr>
      </w:pPr>
      <w:r>
        <w:rPr>
          <w:rFonts w:ascii="SimHei" w:hAnsi="SimHei" w:eastAsia="SimHei" w:cs="SimHei"/>
          <w:sz w:val="21"/>
          <w:szCs w:val="21"/>
          <w:spacing w:val="-1"/>
        </w:rPr>
        <w:t>后果</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consequence</w:t>
      </w:r>
    </w:p>
    <w:p>
      <w:pPr>
        <w:pStyle w:val="BodyText"/>
        <w:spacing w:line="295" w:lineRule="auto"/>
        <w:rPr/>
      </w:pPr>
      <w:r/>
    </w:p>
    <w:p>
      <w:pPr>
        <w:ind w:left="419"/>
        <w:spacing w:before="69" w:line="221" w:lineRule="auto"/>
        <w:rPr>
          <w:rFonts w:ascii="SimSun" w:hAnsi="SimSun" w:eastAsia="SimSun" w:cs="SimSun"/>
          <w:sz w:val="21"/>
          <w:szCs w:val="21"/>
        </w:rPr>
      </w:pPr>
      <w:r>
        <w:rPr>
          <w:rFonts w:ascii="SimSun" w:hAnsi="SimSun" w:eastAsia="SimSun" w:cs="SimSun"/>
          <w:sz w:val="21"/>
          <w:szCs w:val="21"/>
          <w:spacing w:val="-1"/>
        </w:rPr>
        <w:t>某事件对目标影响的结果。</w:t>
      </w:r>
    </w:p>
    <w:p>
      <w:pPr>
        <w:pStyle w:val="BodyText"/>
        <w:spacing w:line="312" w:lineRule="auto"/>
        <w:rPr/>
      </w:pPr>
      <w:r/>
    </w:p>
    <w:p>
      <w:pPr>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3.8</w:t>
      </w:r>
    </w:p>
    <w:p>
      <w:pPr>
        <w:pStyle w:val="BodyText"/>
        <w:spacing w:line="241" w:lineRule="auto"/>
        <w:rPr/>
      </w:pPr>
      <w:r/>
    </w:p>
    <w:p>
      <w:pPr>
        <w:ind w:left="422"/>
        <w:spacing w:before="68" w:line="234" w:lineRule="auto"/>
        <w:rPr>
          <w:rFonts w:ascii="Times New Roman" w:hAnsi="Times New Roman" w:eastAsia="Times New Roman" w:cs="Times New Roman"/>
          <w:sz w:val="21"/>
          <w:szCs w:val="21"/>
        </w:rPr>
      </w:pPr>
      <w:r>
        <w:rPr>
          <w:rFonts w:ascii="SimHei" w:hAnsi="SimHei" w:eastAsia="SimHei" w:cs="SimHei"/>
          <w:sz w:val="21"/>
          <w:szCs w:val="21"/>
          <w:spacing w:val="-1"/>
        </w:rPr>
        <w:t>可能性</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likelihood</w:t>
      </w:r>
    </w:p>
    <w:p>
      <w:pPr>
        <w:pStyle w:val="BodyText"/>
        <w:spacing w:line="271" w:lineRule="auto"/>
        <w:rPr/>
      </w:pPr>
      <w:r/>
    </w:p>
    <w:p>
      <w:pPr>
        <w:ind w:left="419"/>
        <w:spacing w:before="69" w:line="221" w:lineRule="auto"/>
        <w:rPr>
          <w:rFonts w:ascii="SimSun" w:hAnsi="SimSun" w:eastAsia="SimSun" w:cs="SimSun"/>
          <w:sz w:val="21"/>
          <w:szCs w:val="21"/>
        </w:rPr>
      </w:pPr>
      <w:r>
        <w:rPr>
          <w:rFonts w:ascii="SimSun" w:hAnsi="SimSun" w:eastAsia="SimSun" w:cs="SimSun"/>
          <w:sz w:val="21"/>
          <w:szCs w:val="21"/>
          <w:spacing w:val="-1"/>
        </w:rPr>
        <w:t>某事发生的概率。</w:t>
      </w:r>
    </w:p>
    <w:p>
      <w:pPr>
        <w:pStyle w:val="BodyText"/>
        <w:spacing w:line="314" w:lineRule="auto"/>
        <w:rPr/>
      </w:pPr>
      <w:r/>
    </w:p>
    <w:p>
      <w:pPr>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3.9</w:t>
      </w:r>
    </w:p>
    <w:p>
      <w:pPr>
        <w:ind w:left="418"/>
        <w:spacing w:before="309" w:line="235" w:lineRule="auto"/>
        <w:rPr>
          <w:rFonts w:ascii="Times New Roman" w:hAnsi="Times New Roman" w:eastAsia="Times New Roman" w:cs="Times New Roman"/>
          <w:sz w:val="21"/>
          <w:szCs w:val="21"/>
        </w:rPr>
      </w:pPr>
      <w:r>
        <w:rPr>
          <w:rFonts w:ascii="SimHei" w:hAnsi="SimHei" w:eastAsia="SimHei" w:cs="SimHei"/>
          <w:sz w:val="21"/>
          <w:szCs w:val="21"/>
          <w:spacing w:val="-1"/>
        </w:rPr>
        <w:t>控制</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control</w:t>
      </w:r>
    </w:p>
    <w:p>
      <w:pPr>
        <w:pStyle w:val="BodyText"/>
        <w:spacing w:line="271" w:lineRule="auto"/>
        <w:rPr/>
      </w:pPr>
      <w:r/>
    </w:p>
    <w:p>
      <w:pPr>
        <w:ind w:left="420"/>
        <w:spacing w:before="69" w:line="221" w:lineRule="auto"/>
        <w:rPr>
          <w:rFonts w:ascii="SimSun" w:hAnsi="SimSun" w:eastAsia="SimSun" w:cs="SimSun"/>
          <w:sz w:val="21"/>
          <w:szCs w:val="21"/>
        </w:rPr>
      </w:pPr>
      <w:r>
        <w:rPr>
          <w:rFonts w:ascii="SimSun" w:hAnsi="SimSun" w:eastAsia="SimSun" w:cs="SimSun"/>
          <w:sz w:val="21"/>
          <w:szCs w:val="21"/>
          <w:spacing w:val="-2"/>
        </w:rPr>
        <w:t>保持和（或）改变风险的措施。</w:t>
      </w:r>
    </w:p>
    <w:p>
      <w:pPr>
        <w:pStyle w:val="BodyText"/>
        <w:spacing w:line="312" w:lineRule="auto"/>
        <w:rPr/>
      </w:pPr>
      <w:r/>
    </w:p>
    <w:p>
      <w:pPr>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3.10</w:t>
      </w:r>
    </w:p>
    <w:p>
      <w:pPr>
        <w:ind w:left="417"/>
        <w:spacing w:before="309" w:line="234" w:lineRule="auto"/>
        <w:rPr>
          <w:rFonts w:ascii="Times New Roman" w:hAnsi="Times New Roman" w:eastAsia="Times New Roman" w:cs="Times New Roman"/>
          <w:sz w:val="21"/>
          <w:szCs w:val="21"/>
        </w:rPr>
      </w:pPr>
      <w:r>
        <w:rPr>
          <w:rFonts w:ascii="SimHei" w:hAnsi="SimHei" w:eastAsia="SimHei" w:cs="SimHei"/>
          <w:sz w:val="21"/>
          <w:szCs w:val="21"/>
          <w:spacing w:val="-1"/>
        </w:rPr>
        <w:t>剩余风险</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residual risk</w:t>
      </w:r>
    </w:p>
    <w:p>
      <w:pPr>
        <w:pStyle w:val="BodyText"/>
        <w:spacing w:line="273" w:lineRule="auto"/>
        <w:rPr/>
      </w:pPr>
      <w:r/>
    </w:p>
    <w:p>
      <w:pPr>
        <w:ind w:left="420"/>
        <w:spacing w:before="68" w:line="221" w:lineRule="auto"/>
        <w:rPr>
          <w:rFonts w:ascii="SimSun" w:hAnsi="SimSun" w:eastAsia="SimSun" w:cs="SimSun"/>
          <w:sz w:val="21"/>
          <w:szCs w:val="21"/>
        </w:rPr>
      </w:pPr>
      <w:r>
        <w:rPr>
          <w:rFonts w:ascii="SimSun" w:hAnsi="SimSun" w:eastAsia="SimSun" w:cs="SimSun"/>
          <w:sz w:val="21"/>
          <w:szCs w:val="21"/>
          <w:spacing w:val="-2"/>
        </w:rPr>
        <w:t>风险应对后仍然存在的风险。</w:t>
      </w:r>
    </w:p>
    <w:p>
      <w:pPr>
        <w:spacing w:line="221" w:lineRule="auto"/>
        <w:sectPr>
          <w:headerReference w:type="default" r:id="rId8"/>
          <w:footerReference w:type="default" r:id="rId9"/>
          <w:pgSz w:w="11907" w:h="16839"/>
          <w:pgMar w:top="1028" w:right="1134" w:bottom="880" w:left="1425" w:header="703" w:footer="678" w:gutter="0"/>
        </w:sectPr>
        <w:rPr>
          <w:rFonts w:ascii="SimSun" w:hAnsi="SimSun" w:eastAsia="SimSun" w:cs="SimSun"/>
          <w:sz w:val="21"/>
          <w:szCs w:val="21"/>
        </w:rPr>
      </w:pPr>
    </w:p>
    <w:p>
      <w:pPr>
        <w:ind w:left="5"/>
        <w:spacing w:before="154"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3.11</w:t>
      </w:r>
    </w:p>
    <w:p>
      <w:pPr>
        <w:pStyle w:val="BodyText"/>
        <w:spacing w:line="241" w:lineRule="auto"/>
        <w:rPr/>
      </w:pPr>
      <w:r/>
    </w:p>
    <w:p>
      <w:pPr>
        <w:ind w:left="425"/>
        <w:spacing w:before="68" w:line="234" w:lineRule="auto"/>
        <w:rPr>
          <w:rFonts w:ascii="Times New Roman" w:hAnsi="Times New Roman" w:eastAsia="Times New Roman" w:cs="Times New Roman"/>
          <w:sz w:val="21"/>
          <w:szCs w:val="21"/>
        </w:rPr>
      </w:pPr>
      <w:r>
        <w:rPr>
          <w:rFonts w:ascii="SimHei" w:hAnsi="SimHei" w:eastAsia="SimHei" w:cs="SimHei"/>
          <w:sz w:val="21"/>
          <w:szCs w:val="21"/>
          <w:spacing w:val="-1"/>
        </w:rPr>
        <w:t>风险准则</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risk criteria</w:t>
      </w:r>
    </w:p>
    <w:p>
      <w:pPr>
        <w:pStyle w:val="BodyText"/>
        <w:spacing w:line="271" w:lineRule="auto"/>
        <w:rPr/>
      </w:pPr>
      <w:r/>
    </w:p>
    <w:p>
      <w:pPr>
        <w:ind w:left="424"/>
        <w:spacing w:before="68" w:line="219" w:lineRule="auto"/>
        <w:rPr>
          <w:rFonts w:ascii="SimSun" w:hAnsi="SimSun" w:eastAsia="SimSun" w:cs="SimSun"/>
          <w:sz w:val="21"/>
          <w:szCs w:val="21"/>
        </w:rPr>
      </w:pPr>
      <w:r>
        <w:rPr>
          <w:rFonts w:ascii="SimSun" w:hAnsi="SimSun" w:eastAsia="SimSun" w:cs="SimSun"/>
          <w:sz w:val="21"/>
          <w:szCs w:val="21"/>
          <w:spacing w:val="-1"/>
        </w:rPr>
        <w:t>评价风险重要程度所依据的条款。</w:t>
      </w:r>
    </w:p>
    <w:p>
      <w:pPr>
        <w:pStyle w:val="BodyText"/>
        <w:spacing w:line="349" w:lineRule="auto"/>
        <w:rPr/>
      </w:pPr>
      <w:r/>
    </w:p>
    <w:p>
      <w:pPr>
        <w:spacing w:before="69" w:line="234" w:lineRule="auto"/>
        <w:outlineLvl w:val="0"/>
        <w:rPr>
          <w:rFonts w:ascii="SimHei" w:hAnsi="SimHei" w:eastAsia="SimHei" w:cs="SimHei"/>
          <w:sz w:val="21"/>
          <w:szCs w:val="21"/>
        </w:rPr>
      </w:pPr>
      <w:bookmarkStart w:name="bookmark5" w:id="6"/>
      <w:bookmarkEnd w:id="6"/>
      <w:r>
        <w:rPr>
          <w:rFonts w:ascii="Times New Roman" w:hAnsi="Times New Roman" w:eastAsia="Times New Roman" w:cs="Times New Roman"/>
          <w:sz w:val="21"/>
          <w:szCs w:val="21"/>
          <w:spacing w:val="-1"/>
        </w:rPr>
        <w:t>4 </w:t>
      </w:r>
      <w:r>
        <w:rPr>
          <w:rFonts w:ascii="SimHei" w:hAnsi="SimHei" w:eastAsia="SimHei" w:cs="SimHei"/>
          <w:sz w:val="21"/>
          <w:szCs w:val="21"/>
          <w:spacing w:val="-1"/>
        </w:rPr>
        <w:t>组织环境</w:t>
      </w:r>
    </w:p>
    <w:p>
      <w:pPr>
        <w:spacing w:before="247" w:line="234" w:lineRule="auto"/>
        <w:outlineLvl w:val="1"/>
        <w:rPr>
          <w:rFonts w:ascii="SimHei" w:hAnsi="SimHei" w:eastAsia="SimHei" w:cs="SimHei"/>
          <w:sz w:val="21"/>
          <w:szCs w:val="21"/>
        </w:rPr>
      </w:pPr>
      <w:bookmarkStart w:name="bookmark6" w:id="7"/>
      <w:bookmarkEnd w:id="7"/>
      <w:r>
        <w:rPr>
          <w:rFonts w:ascii="Times New Roman" w:hAnsi="Times New Roman" w:eastAsia="Times New Roman" w:cs="Times New Roman"/>
          <w:sz w:val="21"/>
          <w:szCs w:val="21"/>
          <w:spacing w:val="-1"/>
        </w:rPr>
        <w:t>4.1 </w:t>
      </w:r>
      <w:r>
        <w:rPr>
          <w:rFonts w:ascii="SimHei" w:hAnsi="SimHei" w:eastAsia="SimHei" w:cs="SimHei"/>
          <w:sz w:val="21"/>
          <w:szCs w:val="21"/>
          <w:spacing w:val="-1"/>
        </w:rPr>
        <w:t>理解组织及其环境</w:t>
      </w:r>
    </w:p>
    <w:p>
      <w:pPr>
        <w:ind w:left="7" w:right="8" w:firstLine="420"/>
        <w:spacing w:before="166" w:line="359" w:lineRule="auto"/>
        <w:rPr>
          <w:rFonts w:ascii="SimSun" w:hAnsi="SimSun" w:eastAsia="SimSun" w:cs="SimSun"/>
          <w:sz w:val="21"/>
          <w:szCs w:val="21"/>
        </w:rPr>
      </w:pPr>
      <w:r>
        <w:rPr>
          <w:rFonts w:ascii="SimSun" w:hAnsi="SimSun" w:eastAsia="SimSun" w:cs="SimSun"/>
          <w:sz w:val="21"/>
          <w:szCs w:val="21"/>
          <w:spacing w:val="2"/>
        </w:rPr>
        <w:t>组织应确定与其宗旨和战略方向相关、并影响其实现风险管理体系预期结果能力的外部和内部因</w:t>
      </w:r>
      <w:r>
        <w:rPr>
          <w:rFonts w:ascii="SimSun" w:hAnsi="SimSun" w:eastAsia="SimSun" w:cs="SimSun"/>
          <w:sz w:val="21"/>
          <w:szCs w:val="21"/>
          <w:spacing w:val="-10"/>
        </w:rPr>
        <w:t>素。</w:t>
      </w:r>
    </w:p>
    <w:p>
      <w:pPr>
        <w:ind w:left="4" w:right="8" w:firstLine="424"/>
        <w:spacing w:before="2" w:line="359" w:lineRule="auto"/>
        <w:rPr>
          <w:rFonts w:ascii="SimSun" w:hAnsi="SimSun" w:eastAsia="SimSun" w:cs="SimSun"/>
          <w:sz w:val="21"/>
          <w:szCs w:val="21"/>
        </w:rPr>
      </w:pPr>
      <w:r>
        <w:rPr>
          <w:rFonts w:ascii="SimSun" w:hAnsi="SimSun" w:eastAsia="SimSun" w:cs="SimSun"/>
          <w:sz w:val="21"/>
          <w:szCs w:val="21"/>
          <w:spacing w:val="2"/>
        </w:rPr>
        <w:t>外部因素可包括法律法规、技术、市场、社会文化、宏观经济和自然环境等方面；内部因素可包</w:t>
      </w:r>
      <w:r>
        <w:rPr>
          <w:rFonts w:ascii="SimSun" w:hAnsi="SimSun" w:eastAsia="SimSun" w:cs="SimSun"/>
          <w:sz w:val="21"/>
          <w:szCs w:val="21"/>
        </w:rPr>
        <w:t>括治理结构、资源、能力、文化和业务流程</w:t>
      </w:r>
      <w:r>
        <w:rPr>
          <w:rFonts w:ascii="SimSun" w:hAnsi="SimSun" w:eastAsia="SimSun" w:cs="SimSun"/>
          <w:sz w:val="21"/>
          <w:szCs w:val="21"/>
          <w:spacing w:val="-1"/>
        </w:rPr>
        <w:t>等方面。</w:t>
      </w:r>
    </w:p>
    <w:p>
      <w:pPr>
        <w:ind w:left="427"/>
        <w:spacing w:line="220" w:lineRule="auto"/>
        <w:rPr>
          <w:rFonts w:ascii="SimSun" w:hAnsi="SimSun" w:eastAsia="SimSun" w:cs="SimSun"/>
          <w:sz w:val="21"/>
          <w:szCs w:val="21"/>
        </w:rPr>
      </w:pPr>
      <w:r>
        <w:rPr>
          <w:rFonts w:ascii="SimSun" w:hAnsi="SimSun" w:eastAsia="SimSun" w:cs="SimSun"/>
          <w:sz w:val="21"/>
          <w:szCs w:val="21"/>
          <w:spacing w:val="-1"/>
        </w:rPr>
        <w:t>组织应监视和评审有关这些外部和内部因素的信息。</w:t>
      </w:r>
    </w:p>
    <w:p>
      <w:pPr>
        <w:pStyle w:val="BodyText"/>
        <w:spacing w:line="250" w:lineRule="auto"/>
        <w:rPr/>
      </w:pPr>
      <w:r/>
    </w:p>
    <w:p>
      <w:pPr>
        <w:spacing w:before="69" w:line="233" w:lineRule="auto"/>
        <w:outlineLvl w:val="1"/>
        <w:rPr>
          <w:rFonts w:ascii="SimHei" w:hAnsi="SimHei" w:eastAsia="SimHei" w:cs="SimHei"/>
          <w:sz w:val="21"/>
          <w:szCs w:val="21"/>
        </w:rPr>
      </w:pPr>
      <w:bookmarkStart w:name="bookmark7" w:id="8"/>
      <w:bookmarkEnd w:id="8"/>
      <w:r>
        <w:rPr>
          <w:rFonts w:ascii="Times New Roman" w:hAnsi="Times New Roman" w:eastAsia="Times New Roman" w:cs="Times New Roman"/>
          <w:sz w:val="21"/>
          <w:szCs w:val="21"/>
          <w:spacing w:val="-1"/>
        </w:rPr>
        <w:t>4.2 </w:t>
      </w:r>
      <w:r>
        <w:rPr>
          <w:rFonts w:ascii="SimHei" w:hAnsi="SimHei" w:eastAsia="SimHei" w:cs="SimHei"/>
          <w:sz w:val="21"/>
          <w:szCs w:val="21"/>
          <w:spacing w:val="-1"/>
        </w:rPr>
        <w:t>理解相关方的需求和期望</w:t>
      </w:r>
    </w:p>
    <w:p>
      <w:pPr>
        <w:ind w:left="427"/>
        <w:spacing w:before="165"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4"/>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与风险管理体系有关的相关方；</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这些相关方的相关要求。</w:t>
      </w:r>
    </w:p>
    <w:p>
      <w:pPr>
        <w:ind w:left="424"/>
        <w:spacing w:before="157" w:line="220" w:lineRule="auto"/>
        <w:rPr>
          <w:rFonts w:ascii="SimSun" w:hAnsi="SimSun" w:eastAsia="SimSun" w:cs="SimSun"/>
          <w:sz w:val="21"/>
          <w:szCs w:val="21"/>
        </w:rPr>
      </w:pPr>
      <w:r>
        <w:rPr>
          <w:rFonts w:ascii="SimSun" w:hAnsi="SimSun" w:eastAsia="SimSun" w:cs="SimSun"/>
          <w:sz w:val="21"/>
          <w:szCs w:val="21"/>
        </w:rPr>
        <w:t>相关方可包括管理者、员工、顾客、投资者、监管机构、合作伙伴和社</w:t>
      </w:r>
      <w:r>
        <w:rPr>
          <w:rFonts w:ascii="SimSun" w:hAnsi="SimSun" w:eastAsia="SimSun" w:cs="SimSun"/>
          <w:sz w:val="21"/>
          <w:szCs w:val="21"/>
          <w:spacing w:val="-1"/>
        </w:rPr>
        <w:t>区等。</w:t>
      </w:r>
    </w:p>
    <w:p>
      <w:pPr>
        <w:ind w:left="427"/>
        <w:spacing w:before="157" w:line="221" w:lineRule="auto"/>
        <w:rPr>
          <w:rFonts w:ascii="SimSun" w:hAnsi="SimSun" w:eastAsia="SimSun" w:cs="SimSun"/>
          <w:sz w:val="21"/>
          <w:szCs w:val="21"/>
        </w:rPr>
      </w:pPr>
      <w:r>
        <w:rPr>
          <w:rFonts w:ascii="SimSun" w:hAnsi="SimSun" w:eastAsia="SimSun" w:cs="SimSun"/>
          <w:sz w:val="21"/>
          <w:szCs w:val="21"/>
          <w:spacing w:val="-1"/>
        </w:rPr>
        <w:t>组织应监视和评审这些相关方及其相关要求的信息。</w:t>
      </w:r>
    </w:p>
    <w:p>
      <w:pPr>
        <w:pStyle w:val="BodyText"/>
        <w:spacing w:line="252" w:lineRule="auto"/>
        <w:rPr/>
      </w:pPr>
      <w:r/>
    </w:p>
    <w:p>
      <w:pPr>
        <w:spacing w:before="69" w:line="234" w:lineRule="auto"/>
        <w:outlineLvl w:val="1"/>
        <w:rPr>
          <w:rFonts w:ascii="SimHei" w:hAnsi="SimHei" w:eastAsia="SimHei" w:cs="SimHei"/>
          <w:sz w:val="21"/>
          <w:szCs w:val="21"/>
        </w:rPr>
      </w:pPr>
      <w:bookmarkStart w:name="bookmark8" w:id="9"/>
      <w:bookmarkEnd w:id="9"/>
      <w:r>
        <w:rPr>
          <w:rFonts w:ascii="Times New Roman" w:hAnsi="Times New Roman" w:eastAsia="Times New Roman" w:cs="Times New Roman"/>
          <w:sz w:val="21"/>
          <w:szCs w:val="21"/>
          <w:spacing w:val="-1"/>
        </w:rPr>
        <w:t>4.3 </w:t>
      </w:r>
      <w:r>
        <w:rPr>
          <w:rFonts w:ascii="SimHei" w:hAnsi="SimHei" w:eastAsia="SimHei" w:cs="SimHei"/>
          <w:sz w:val="21"/>
          <w:szCs w:val="21"/>
          <w:spacing w:val="-1"/>
        </w:rPr>
        <w:t>确定风险管理体系的范围</w:t>
      </w:r>
    </w:p>
    <w:p>
      <w:pPr>
        <w:ind w:left="427"/>
        <w:spacing w:before="164" w:line="221" w:lineRule="auto"/>
        <w:rPr>
          <w:rFonts w:ascii="SimSun" w:hAnsi="SimSun" w:eastAsia="SimSun" w:cs="SimSun"/>
          <w:sz w:val="21"/>
          <w:szCs w:val="21"/>
        </w:rPr>
      </w:pPr>
      <w:r>
        <w:rPr>
          <w:rFonts w:ascii="SimSun" w:hAnsi="SimSun" w:eastAsia="SimSun" w:cs="SimSun"/>
          <w:sz w:val="21"/>
          <w:szCs w:val="21"/>
        </w:rPr>
        <w:t>组织应确定风险管理体系的边界和适用性，以</w:t>
      </w:r>
      <w:r>
        <w:rPr>
          <w:rFonts w:ascii="SimSun" w:hAnsi="SimSun" w:eastAsia="SimSun" w:cs="SimSun"/>
          <w:sz w:val="21"/>
          <w:szCs w:val="21"/>
          <w:spacing w:val="-1"/>
        </w:rPr>
        <w:t>确定其范围。</w:t>
      </w:r>
    </w:p>
    <w:p>
      <w:pPr>
        <w:ind w:left="424"/>
        <w:spacing w:before="156" w:line="220" w:lineRule="auto"/>
        <w:rPr>
          <w:rFonts w:ascii="SimSun" w:hAnsi="SimSun" w:eastAsia="SimSun" w:cs="SimSun"/>
          <w:sz w:val="21"/>
          <w:szCs w:val="21"/>
        </w:rPr>
      </w:pPr>
      <w:r>
        <w:rPr>
          <w:rFonts w:ascii="SimSun" w:hAnsi="SimSun" w:eastAsia="SimSun" w:cs="SimSun"/>
          <w:sz w:val="21"/>
          <w:szCs w:val="21"/>
          <w:spacing w:val="-1"/>
        </w:rPr>
        <w:t>确定范围时，组织应考虑：</w:t>
      </w:r>
    </w:p>
    <w:p>
      <w:pPr>
        <w:ind w:left="414"/>
        <w:spacing w:before="161" w:line="234" w:lineRule="auto"/>
        <w:rPr>
          <w:rFonts w:ascii="SimSun" w:hAnsi="SimSun" w:eastAsia="SimSun" w:cs="SimSun"/>
          <w:sz w:val="21"/>
          <w:szCs w:val="21"/>
        </w:rPr>
      </w:pPr>
      <w:r>
        <w:rPr>
          <w:rFonts w:ascii="Times New Roman" w:hAnsi="Times New Roman" w:eastAsia="Times New Roman" w:cs="Times New Roman"/>
          <w:sz w:val="21"/>
          <w:szCs w:val="21"/>
          <w:spacing w:val="-2"/>
        </w:rPr>
        <w:t>—— 4.1 </w:t>
      </w:r>
      <w:r>
        <w:rPr>
          <w:rFonts w:ascii="SimSun" w:hAnsi="SimSun" w:eastAsia="SimSun" w:cs="SimSun"/>
          <w:sz w:val="21"/>
          <w:szCs w:val="21"/>
          <w:spacing w:val="-2"/>
        </w:rPr>
        <w:t>所提及的外部和内部因素；</w:t>
      </w:r>
    </w:p>
    <w:p>
      <w:pPr>
        <w:ind w:left="414"/>
        <w:spacing w:before="142" w:line="235" w:lineRule="auto"/>
        <w:rPr>
          <w:rFonts w:ascii="SimSun" w:hAnsi="SimSun" w:eastAsia="SimSun" w:cs="SimSun"/>
          <w:sz w:val="21"/>
          <w:szCs w:val="21"/>
        </w:rPr>
      </w:pPr>
      <w:r>
        <w:rPr>
          <w:rFonts w:ascii="Times New Roman" w:hAnsi="Times New Roman" w:eastAsia="Times New Roman" w:cs="Times New Roman"/>
          <w:sz w:val="21"/>
          <w:szCs w:val="21"/>
          <w:spacing w:val="-3"/>
        </w:rPr>
        <w:t>—— 4.2 </w:t>
      </w:r>
      <w:r>
        <w:rPr>
          <w:rFonts w:ascii="SimSun" w:hAnsi="SimSun" w:eastAsia="SimSun" w:cs="SimSun"/>
          <w:sz w:val="21"/>
          <w:szCs w:val="21"/>
          <w:spacing w:val="-3"/>
        </w:rPr>
        <w:t>所提及的相关方要求；</w:t>
      </w:r>
    </w:p>
    <w:p>
      <w:pPr>
        <w:ind w:left="414"/>
        <w:spacing w:before="14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组织的活动、职能、产品和服务的类型及其相互关系。</w:t>
      </w:r>
    </w:p>
    <w:p>
      <w:pPr>
        <w:ind w:left="427"/>
        <w:spacing w:before="157" w:line="221" w:lineRule="auto"/>
        <w:rPr>
          <w:rFonts w:ascii="SimSun" w:hAnsi="SimSun" w:eastAsia="SimSun" w:cs="SimSun"/>
          <w:sz w:val="21"/>
          <w:szCs w:val="21"/>
        </w:rPr>
      </w:pPr>
      <w:r>
        <w:rPr>
          <w:rFonts w:ascii="SimSun" w:hAnsi="SimSun" w:eastAsia="SimSun" w:cs="SimSun"/>
          <w:sz w:val="21"/>
          <w:szCs w:val="21"/>
          <w:spacing w:val="-1"/>
        </w:rPr>
        <w:t>组织应保持风险管理体系范围的成文信息。</w:t>
      </w:r>
    </w:p>
    <w:p>
      <w:pPr>
        <w:pStyle w:val="BodyText"/>
        <w:spacing w:line="250" w:lineRule="auto"/>
        <w:rPr/>
      </w:pPr>
      <w:r/>
    </w:p>
    <w:p>
      <w:pPr>
        <w:spacing w:before="69" w:line="234" w:lineRule="auto"/>
        <w:outlineLvl w:val="1"/>
        <w:rPr>
          <w:rFonts w:ascii="SimHei" w:hAnsi="SimHei" w:eastAsia="SimHei" w:cs="SimHei"/>
          <w:sz w:val="21"/>
          <w:szCs w:val="21"/>
        </w:rPr>
      </w:pPr>
      <w:bookmarkStart w:name="bookmark9" w:id="10"/>
      <w:bookmarkEnd w:id="10"/>
      <w:r>
        <w:rPr>
          <w:rFonts w:ascii="Times New Roman" w:hAnsi="Times New Roman" w:eastAsia="Times New Roman" w:cs="Times New Roman"/>
          <w:sz w:val="21"/>
          <w:szCs w:val="21"/>
          <w:spacing w:val="-1"/>
        </w:rPr>
        <w:t>4.4 </w:t>
      </w:r>
      <w:r>
        <w:rPr>
          <w:rFonts w:ascii="SimHei" w:hAnsi="SimHei" w:eastAsia="SimHei" w:cs="SimHei"/>
          <w:sz w:val="21"/>
          <w:szCs w:val="21"/>
          <w:spacing w:val="-1"/>
        </w:rPr>
        <w:t>风险管理体系及其过程</w:t>
      </w:r>
    </w:p>
    <w:p>
      <w:pPr>
        <w:ind w:left="5" w:right="8" w:firstLine="421"/>
        <w:spacing w:before="165" w:line="359" w:lineRule="auto"/>
        <w:rPr>
          <w:rFonts w:ascii="SimSun" w:hAnsi="SimSun" w:eastAsia="SimSun" w:cs="SimSun"/>
          <w:sz w:val="21"/>
          <w:szCs w:val="21"/>
        </w:rPr>
      </w:pPr>
      <w:r>
        <w:rPr>
          <w:rFonts w:ascii="SimSun" w:hAnsi="SimSun" w:eastAsia="SimSun" w:cs="SimSun"/>
          <w:sz w:val="21"/>
          <w:szCs w:val="21"/>
          <w:spacing w:val="2"/>
        </w:rPr>
        <w:t>组织应按照本文件的要求建立、实施、保持和持续改进风险管理体系，包括所需的过程及其相互</w:t>
      </w:r>
      <w:r>
        <w:rPr>
          <w:rFonts w:ascii="SimSun" w:hAnsi="SimSun" w:eastAsia="SimSun" w:cs="SimSun"/>
          <w:sz w:val="21"/>
          <w:szCs w:val="21"/>
          <w:spacing w:val="-9"/>
        </w:rPr>
        <w:t>作用。</w:t>
      </w:r>
    </w:p>
    <w:p>
      <w:pPr>
        <w:ind w:left="5" w:right="8" w:firstLine="421"/>
        <w:spacing w:before="2" w:line="362" w:lineRule="auto"/>
        <w:rPr>
          <w:rFonts w:ascii="SimSun" w:hAnsi="SimSun" w:eastAsia="SimSun" w:cs="SimSun"/>
          <w:sz w:val="21"/>
          <w:szCs w:val="21"/>
        </w:rPr>
      </w:pPr>
      <w:r>
        <w:rPr>
          <w:rFonts w:ascii="SimSun" w:hAnsi="SimSun" w:eastAsia="SimSun" w:cs="SimSun"/>
          <w:sz w:val="21"/>
          <w:szCs w:val="21"/>
          <w:spacing w:val="2"/>
        </w:rPr>
        <w:t>组织应确定风险管理体系所需的过程及其顺序和相互作用，确定并配备过程运行所需的准则和方</w:t>
      </w:r>
      <w:r>
        <w:rPr>
          <w:rFonts w:ascii="SimSun" w:hAnsi="SimSun" w:eastAsia="SimSun" w:cs="SimSun"/>
          <w:sz w:val="21"/>
          <w:szCs w:val="21"/>
          <w:spacing w:val="-1"/>
        </w:rPr>
        <w:t>法，并保持和保留必要的成文信息，以支持过程的运行和证实过程的实施。</w:t>
      </w:r>
    </w:p>
    <w:p>
      <w:pPr>
        <w:spacing w:before="156" w:line="234" w:lineRule="auto"/>
        <w:outlineLvl w:val="1"/>
        <w:rPr>
          <w:rFonts w:ascii="SimHei" w:hAnsi="SimHei" w:eastAsia="SimHei" w:cs="SimHei"/>
          <w:sz w:val="21"/>
          <w:szCs w:val="21"/>
        </w:rPr>
      </w:pPr>
      <w:bookmarkStart w:name="bookmark10" w:id="11"/>
      <w:bookmarkEnd w:id="11"/>
      <w:r>
        <w:rPr>
          <w:rFonts w:ascii="Times New Roman" w:hAnsi="Times New Roman" w:eastAsia="Times New Roman" w:cs="Times New Roman"/>
          <w:sz w:val="21"/>
          <w:szCs w:val="21"/>
          <w:spacing w:val="-1"/>
        </w:rPr>
        <w:t>4.5 </w:t>
      </w:r>
      <w:r>
        <w:rPr>
          <w:rFonts w:ascii="SimHei" w:hAnsi="SimHei" w:eastAsia="SimHei" w:cs="SimHei"/>
          <w:sz w:val="21"/>
          <w:szCs w:val="21"/>
          <w:spacing w:val="-1"/>
        </w:rPr>
        <w:t>风险管理原则</w:t>
      </w:r>
    </w:p>
    <w:p>
      <w:pPr>
        <w:ind w:left="7" w:right="8" w:firstLine="420"/>
        <w:spacing w:before="163" w:line="360" w:lineRule="auto"/>
        <w:rPr>
          <w:rFonts w:ascii="SimSun" w:hAnsi="SimSun" w:eastAsia="SimSun" w:cs="SimSun"/>
          <w:sz w:val="21"/>
          <w:szCs w:val="21"/>
        </w:rPr>
      </w:pPr>
      <w:r>
        <w:rPr>
          <w:rFonts w:ascii="SimSun" w:hAnsi="SimSun" w:eastAsia="SimSun" w:cs="SimSun"/>
          <w:sz w:val="21"/>
          <w:szCs w:val="21"/>
          <w:spacing w:val="2"/>
        </w:rPr>
        <w:t>组织在建立、实施、保持和持续改进风险管理体系时，应遵循以下原则，使风险管理成为组织管</w:t>
      </w:r>
      <w:r>
        <w:rPr>
          <w:rFonts w:ascii="SimSun" w:hAnsi="SimSun" w:eastAsia="SimSun" w:cs="SimSun"/>
          <w:sz w:val="21"/>
          <w:szCs w:val="21"/>
          <w:spacing w:val="-3"/>
        </w:rPr>
        <w:t>理活动的有机组成部分：</w:t>
      </w:r>
    </w:p>
    <w:p>
      <w:pPr>
        <w:ind w:left="414"/>
        <w:spacing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整合：将风险管理融入组织的治理、战略、规划、管理、报告、政策、价值观和文化中；</w:t>
      </w:r>
    </w:p>
    <w:p>
      <w:pPr>
        <w:spacing w:line="219" w:lineRule="auto"/>
        <w:sectPr>
          <w:headerReference w:type="default" r:id="rId10"/>
          <w:footerReference w:type="default" r:id="rId11"/>
          <w:pgSz w:w="11907" w:h="16839"/>
          <w:pgMar w:top="1028" w:right="1134" w:bottom="880" w:left="1419" w:header="703" w:footer="680" w:gutter="0"/>
        </w:sectPr>
        <w:rPr>
          <w:rFonts w:ascii="SimSun" w:hAnsi="SimSun" w:eastAsia="SimSun" w:cs="SimSun"/>
          <w:sz w:val="21"/>
          <w:szCs w:val="21"/>
        </w:rPr>
      </w:pPr>
    </w:p>
    <w:p>
      <w:pPr>
        <w:ind w:left="418" w:right="247" w:hanging="10"/>
        <w:spacing w:before="133"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结构化和全面性：采用结构化和全面性的方法开展风险管理，覆盖组</w:t>
      </w:r>
      <w:r>
        <w:rPr>
          <w:rFonts w:ascii="SimSun" w:hAnsi="SimSun" w:eastAsia="SimSun" w:cs="SimSun"/>
          <w:sz w:val="21"/>
          <w:szCs w:val="21"/>
          <w:spacing w:val="-1"/>
        </w:rPr>
        <w:t>织所有层级和领域，确</w:t>
      </w:r>
      <w:r>
        <w:rPr>
          <w:rFonts w:ascii="SimSun" w:hAnsi="SimSun" w:eastAsia="SimSun" w:cs="SimSun"/>
          <w:sz w:val="21"/>
          <w:szCs w:val="21"/>
          <w:spacing w:val="-1"/>
        </w:rPr>
        <w:t>保结果一致和可比较；</w:t>
      </w:r>
    </w:p>
    <w:p>
      <w:pPr>
        <w:ind w:left="408"/>
        <w:spacing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定制化：根据组织及其目标所处的内外部环境对风险管理框架和过程进行定制；</w:t>
      </w:r>
    </w:p>
    <w:p>
      <w:pPr>
        <w:ind w:left="408"/>
        <w:spacing w:before="156"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包容性：确保相关方的适当、及时参与，充分考虑其知识、观点和认知；</w:t>
      </w:r>
    </w:p>
    <w:p>
      <w:pPr>
        <w:ind w:left="408"/>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动态性：以适当、及时的方式预测、发现、确认和应对变化和事件；</w:t>
      </w:r>
    </w:p>
    <w:p>
      <w:pPr>
        <w:ind w:left="422" w:right="230" w:hanging="14"/>
        <w:spacing w:before="159"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最佳可用信息：风险管理的输入信息应基于历史、当前和未来预期，并考虑其局限性和不确</w:t>
      </w:r>
      <w:r>
        <w:rPr>
          <w:rFonts w:ascii="SimSun" w:hAnsi="SimSun" w:eastAsia="SimSun" w:cs="SimSun"/>
          <w:sz w:val="21"/>
          <w:szCs w:val="21"/>
          <w:spacing w:val="-14"/>
        </w:rPr>
        <w:t>定性；</w:t>
      </w:r>
    </w:p>
    <w:p>
      <w:pPr>
        <w:ind w:left="408"/>
        <w:spacing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人和文化因素：认识人的行为和文化对风险管理各</w:t>
      </w:r>
      <w:r>
        <w:rPr>
          <w:rFonts w:ascii="SimSun" w:hAnsi="SimSun" w:eastAsia="SimSun" w:cs="SimSun"/>
          <w:sz w:val="21"/>
          <w:szCs w:val="21"/>
          <w:spacing w:val="-1"/>
        </w:rPr>
        <w:t>方面的影响，培育良好的风险管理文化；</w:t>
      </w:r>
    </w:p>
    <w:p>
      <w:pPr>
        <w:ind w:left="408"/>
        <w:spacing w:before="158"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持续改进：基于监测、评审和评估，持续改进风险管</w:t>
      </w:r>
      <w:r>
        <w:rPr>
          <w:rFonts w:ascii="SimSun" w:hAnsi="SimSun" w:eastAsia="SimSun" w:cs="SimSun"/>
          <w:sz w:val="21"/>
          <w:szCs w:val="21"/>
          <w:spacing w:val="-1"/>
        </w:rPr>
        <w:t>理框架、过程和结果。</w:t>
      </w:r>
    </w:p>
    <w:p>
      <w:pPr>
        <w:pStyle w:val="BodyText"/>
        <w:spacing w:line="350" w:lineRule="auto"/>
        <w:rPr/>
      </w:pPr>
      <w:r/>
    </w:p>
    <w:p>
      <w:pPr>
        <w:spacing w:before="68" w:line="234" w:lineRule="auto"/>
        <w:outlineLvl w:val="0"/>
        <w:rPr>
          <w:rFonts w:ascii="SimHei" w:hAnsi="SimHei" w:eastAsia="SimHei" w:cs="SimHei"/>
          <w:sz w:val="21"/>
          <w:szCs w:val="21"/>
        </w:rPr>
      </w:pPr>
      <w:bookmarkStart w:name="bookmark11" w:id="12"/>
      <w:bookmarkEnd w:id="12"/>
      <w:r>
        <w:rPr>
          <w:rFonts w:ascii="Times New Roman" w:hAnsi="Times New Roman" w:eastAsia="Times New Roman" w:cs="Times New Roman"/>
          <w:sz w:val="21"/>
          <w:szCs w:val="21"/>
          <w:spacing w:val="-2"/>
        </w:rPr>
        <w:t>5 </w:t>
      </w:r>
      <w:r>
        <w:rPr>
          <w:rFonts w:ascii="SimHei" w:hAnsi="SimHei" w:eastAsia="SimHei" w:cs="SimHei"/>
          <w:sz w:val="21"/>
          <w:szCs w:val="21"/>
          <w:spacing w:val="-2"/>
        </w:rPr>
        <w:t>领导作用</w:t>
      </w:r>
    </w:p>
    <w:p>
      <w:pPr>
        <w:spacing w:before="250" w:line="234" w:lineRule="auto"/>
        <w:outlineLvl w:val="1"/>
        <w:rPr>
          <w:rFonts w:ascii="SimHei" w:hAnsi="SimHei" w:eastAsia="SimHei" w:cs="SimHei"/>
          <w:sz w:val="21"/>
          <w:szCs w:val="21"/>
        </w:rPr>
      </w:pPr>
      <w:bookmarkStart w:name="bookmark12" w:id="13"/>
      <w:bookmarkEnd w:id="13"/>
      <w:r>
        <w:rPr>
          <w:rFonts w:ascii="Times New Roman" w:hAnsi="Times New Roman" w:eastAsia="Times New Roman" w:cs="Times New Roman"/>
          <w:sz w:val="21"/>
          <w:szCs w:val="21"/>
          <w:spacing w:val="-1"/>
        </w:rPr>
        <w:t>5.1 </w:t>
      </w:r>
      <w:r>
        <w:rPr>
          <w:rFonts w:ascii="SimHei" w:hAnsi="SimHei" w:eastAsia="SimHei" w:cs="SimHei"/>
          <w:sz w:val="21"/>
          <w:szCs w:val="21"/>
          <w:spacing w:val="-1"/>
        </w:rPr>
        <w:t>领导作用和承诺</w:t>
      </w:r>
    </w:p>
    <w:p>
      <w:pPr>
        <w:ind w:left="420"/>
        <w:spacing w:before="166" w:line="221" w:lineRule="auto"/>
        <w:rPr>
          <w:rFonts w:ascii="SimSun" w:hAnsi="SimSun" w:eastAsia="SimSun" w:cs="SimSun"/>
          <w:sz w:val="21"/>
          <w:szCs w:val="21"/>
        </w:rPr>
      </w:pPr>
      <w:r>
        <w:rPr>
          <w:rFonts w:ascii="SimSun" w:hAnsi="SimSun" w:eastAsia="SimSun" w:cs="SimSun"/>
          <w:sz w:val="21"/>
          <w:szCs w:val="21"/>
          <w:spacing w:val="-1"/>
        </w:rPr>
        <w:t>最高管理者应通过以下方面证实其对风险管理体系的领导作用和承诺：</w:t>
      </w:r>
    </w:p>
    <w:p>
      <w:pPr>
        <w:ind w:left="435" w:right="230" w:hanging="27"/>
        <w:spacing w:before="156"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对风险管理体系的有效性负责，确保风险管理框架的设计、实施、保持和持续改进获得必要</w:t>
      </w:r>
      <w:r>
        <w:rPr>
          <w:rFonts w:ascii="SimSun" w:hAnsi="SimSun" w:eastAsia="SimSun" w:cs="SimSun"/>
          <w:sz w:val="21"/>
          <w:szCs w:val="21"/>
          <w:spacing w:val="-7"/>
        </w:rPr>
        <w:t>的授权和资源；</w:t>
      </w:r>
    </w:p>
    <w:p>
      <w:pPr>
        <w:ind w:left="408"/>
        <w:spacing w:before="1"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确保制定风险管理方针和风险管理目标，并与组织环境和战略方向相一致；</w:t>
      </w:r>
    </w:p>
    <w:p>
      <w:pPr>
        <w:ind w:left="408"/>
        <w:spacing w:before="159"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推动风险管理与组织的治理结构、业务流程、决策机制和组织文化深度融合；</w:t>
      </w:r>
    </w:p>
    <w:p>
      <w:pPr>
        <w:ind w:left="408"/>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确保提供风险管理体系所需的人力、财务、技术等资源；</w:t>
      </w:r>
    </w:p>
    <w:p>
      <w:pPr>
        <w:ind w:left="408"/>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沟通有效风险管理和符合风险管理体系要求的重要性；</w:t>
      </w:r>
    </w:p>
    <w:p>
      <w:pPr>
        <w:ind w:left="408"/>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确保风险管理体系实现其预期结果；</w:t>
      </w:r>
    </w:p>
    <w:p>
      <w:pPr>
        <w:ind w:left="408"/>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指导和支持人员为风险管理体系的有效性作出</w:t>
      </w:r>
      <w:r>
        <w:rPr>
          <w:rFonts w:ascii="SimSun" w:hAnsi="SimSun" w:eastAsia="SimSun" w:cs="SimSun"/>
          <w:sz w:val="21"/>
          <w:szCs w:val="21"/>
          <w:spacing w:val="-2"/>
        </w:rPr>
        <w:t>贡献；</w:t>
      </w:r>
    </w:p>
    <w:p>
      <w:pPr>
        <w:ind w:left="408"/>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促进持续改进；</w:t>
      </w:r>
    </w:p>
    <w:p>
      <w:pPr>
        <w:ind w:left="408"/>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支持其他相关管理者在其职责范围内证实其领导作用。</w:t>
      </w:r>
    </w:p>
    <w:p>
      <w:pPr>
        <w:pStyle w:val="BodyText"/>
        <w:spacing w:line="250" w:lineRule="auto"/>
        <w:rPr/>
      </w:pPr>
      <w:r/>
    </w:p>
    <w:p>
      <w:pPr>
        <w:spacing w:before="68" w:line="233" w:lineRule="auto"/>
        <w:outlineLvl w:val="1"/>
        <w:rPr>
          <w:rFonts w:ascii="SimHei" w:hAnsi="SimHei" w:eastAsia="SimHei" w:cs="SimHei"/>
          <w:sz w:val="21"/>
          <w:szCs w:val="21"/>
        </w:rPr>
      </w:pPr>
      <w:bookmarkStart w:name="bookmark13" w:id="14"/>
      <w:bookmarkEnd w:id="14"/>
      <w:r>
        <w:rPr>
          <w:rFonts w:ascii="Times New Roman" w:hAnsi="Times New Roman" w:eastAsia="Times New Roman" w:cs="Times New Roman"/>
          <w:sz w:val="21"/>
          <w:szCs w:val="21"/>
          <w:spacing w:val="-1"/>
        </w:rPr>
        <w:t>5.2 </w:t>
      </w:r>
      <w:r>
        <w:rPr>
          <w:rFonts w:ascii="SimHei" w:hAnsi="SimHei" w:eastAsia="SimHei" w:cs="SimHei"/>
          <w:sz w:val="21"/>
          <w:szCs w:val="21"/>
          <w:spacing w:val="-1"/>
        </w:rPr>
        <w:t>风险管理方针</w:t>
      </w:r>
    </w:p>
    <w:p>
      <w:pPr>
        <w:ind w:left="420"/>
        <w:spacing w:before="167" w:line="221" w:lineRule="auto"/>
        <w:rPr>
          <w:rFonts w:ascii="SimSun" w:hAnsi="SimSun" w:eastAsia="SimSun" w:cs="SimSun"/>
          <w:sz w:val="21"/>
          <w:szCs w:val="21"/>
        </w:rPr>
      </w:pPr>
      <w:r>
        <w:rPr>
          <w:rFonts w:ascii="SimSun" w:hAnsi="SimSun" w:eastAsia="SimSun" w:cs="SimSun"/>
          <w:sz w:val="21"/>
          <w:szCs w:val="21"/>
          <w:spacing w:val="-1"/>
        </w:rPr>
        <w:t>最高管理者应制定、实施和保持风险管理方针。风险管理方针应：</w:t>
      </w:r>
    </w:p>
    <w:p>
      <w:pPr>
        <w:ind w:left="408"/>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与组织的宗旨和环境相适应，并支持组织的战略方向；</w:t>
      </w:r>
    </w:p>
    <w:p>
      <w:pPr>
        <w:ind w:left="408"/>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9"/>
        </w:rPr>
        <w:t xml:space="preserve"> </w:t>
      </w:r>
      <w:r>
        <w:rPr>
          <w:rFonts w:ascii="SimSun" w:hAnsi="SimSun" w:eastAsia="SimSun" w:cs="SimSun"/>
          <w:sz w:val="21"/>
          <w:szCs w:val="21"/>
          <w:spacing w:val="-1"/>
        </w:rPr>
        <w:t>阐明组织风险管理的意图、原则和基本导向，为制定风</w:t>
      </w:r>
      <w:r>
        <w:rPr>
          <w:rFonts w:ascii="SimSun" w:hAnsi="SimSun" w:eastAsia="SimSun" w:cs="SimSun"/>
          <w:sz w:val="21"/>
          <w:szCs w:val="21"/>
          <w:spacing w:val="-2"/>
        </w:rPr>
        <w:t>险管理目标提供框架；</w:t>
      </w:r>
    </w:p>
    <w:p>
      <w:pPr>
        <w:ind w:left="417" w:right="230" w:hanging="9"/>
        <w:spacing w:before="157"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包括创造和保护价值、将风险管理整合到组织活动和决策中、以及持续改进风险管理体系的</w:t>
      </w:r>
      <w:r>
        <w:rPr>
          <w:rFonts w:ascii="SimSun" w:hAnsi="SimSun" w:eastAsia="SimSun" w:cs="SimSun"/>
          <w:sz w:val="21"/>
          <w:szCs w:val="21"/>
          <w:spacing w:val="-13"/>
        </w:rPr>
        <w:t>承诺；</w:t>
      </w:r>
    </w:p>
    <w:p>
      <w:pPr>
        <w:ind w:left="408"/>
        <w:spacing w:before="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在组织内得到沟通、理解和应用；</w:t>
      </w:r>
    </w:p>
    <w:p>
      <w:pPr>
        <w:ind w:left="408"/>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适当时可向相关方提供。</w:t>
      </w:r>
    </w:p>
    <w:p>
      <w:pPr>
        <w:pStyle w:val="BodyText"/>
        <w:spacing w:line="251" w:lineRule="auto"/>
        <w:rPr/>
      </w:pPr>
      <w:r/>
    </w:p>
    <w:p>
      <w:pPr>
        <w:spacing w:before="68" w:line="233" w:lineRule="auto"/>
        <w:outlineLvl w:val="1"/>
        <w:rPr>
          <w:rFonts w:ascii="SimHei" w:hAnsi="SimHei" w:eastAsia="SimHei" w:cs="SimHei"/>
          <w:sz w:val="21"/>
          <w:szCs w:val="21"/>
        </w:rPr>
      </w:pPr>
      <w:bookmarkStart w:name="bookmark14" w:id="15"/>
      <w:bookmarkEnd w:id="15"/>
      <w:r>
        <w:rPr>
          <w:rFonts w:ascii="Times New Roman" w:hAnsi="Times New Roman" w:eastAsia="Times New Roman" w:cs="Times New Roman"/>
          <w:sz w:val="21"/>
          <w:szCs w:val="21"/>
          <w:spacing w:val="-1"/>
        </w:rPr>
        <w:t>5.3 </w:t>
      </w:r>
      <w:r>
        <w:rPr>
          <w:rFonts w:ascii="SimHei" w:hAnsi="SimHei" w:eastAsia="SimHei" w:cs="SimHei"/>
          <w:sz w:val="21"/>
          <w:szCs w:val="21"/>
          <w:spacing w:val="-1"/>
        </w:rPr>
        <w:t>组织的角色、职责和权限</w:t>
      </w:r>
    </w:p>
    <w:p>
      <w:pPr>
        <w:ind w:left="1" w:firstLine="419"/>
        <w:spacing w:before="167" w:line="359" w:lineRule="auto"/>
        <w:rPr>
          <w:rFonts w:ascii="SimSun" w:hAnsi="SimSun" w:eastAsia="SimSun" w:cs="SimSun"/>
          <w:sz w:val="21"/>
          <w:szCs w:val="21"/>
        </w:rPr>
      </w:pPr>
      <w:r>
        <w:rPr>
          <w:rFonts w:ascii="SimSun" w:hAnsi="SimSun" w:eastAsia="SimSun" w:cs="SimSun"/>
          <w:sz w:val="21"/>
          <w:szCs w:val="21"/>
          <w:spacing w:val="2"/>
        </w:rPr>
        <w:t>最高管理者应确保相关角色的职责和权限在组织内得到分配、沟通和理解，并覆盖风险管理的第</w:t>
      </w:r>
      <w:r>
        <w:rPr>
          <w:rFonts w:ascii="SimSun" w:hAnsi="SimSun" w:eastAsia="SimSun" w:cs="SimSun"/>
          <w:sz w:val="21"/>
          <w:szCs w:val="21"/>
          <w:spacing w:val="2"/>
        </w:rPr>
        <w:t>一道防线（业务部门）、第二道防线（风险管理</w:t>
      </w:r>
      <w:r>
        <w:rPr>
          <w:rFonts w:ascii="SimSun" w:hAnsi="SimSun" w:eastAsia="SimSun" w:cs="SimSun"/>
          <w:sz w:val="21"/>
          <w:szCs w:val="21"/>
          <w:spacing w:val="1"/>
        </w:rPr>
        <w:t>职能部门）和第三道防线（内部审计及监督）等层次。</w:t>
      </w:r>
    </w:p>
    <w:p>
      <w:pPr>
        <w:ind w:left="420"/>
        <w:spacing w:before="1" w:line="220" w:lineRule="auto"/>
        <w:rPr>
          <w:rFonts w:ascii="SimSun" w:hAnsi="SimSun" w:eastAsia="SimSun" w:cs="SimSun"/>
          <w:sz w:val="21"/>
          <w:szCs w:val="21"/>
        </w:rPr>
      </w:pPr>
      <w:r>
        <w:rPr>
          <w:rFonts w:ascii="SimSun" w:hAnsi="SimSun" w:eastAsia="SimSun" w:cs="SimSun"/>
          <w:sz w:val="21"/>
          <w:szCs w:val="21"/>
          <w:spacing w:val="-2"/>
        </w:rPr>
        <w:t>组织应分配职责和权限，以：</w:t>
      </w:r>
    </w:p>
    <w:p>
      <w:pPr>
        <w:spacing w:line="220" w:lineRule="auto"/>
        <w:sectPr>
          <w:headerReference w:type="default" r:id="rId12"/>
          <w:footerReference w:type="default" r:id="rId13"/>
          <w:pgSz w:w="11907" w:h="16839"/>
          <w:pgMar w:top="1028" w:right="960" w:bottom="880" w:left="1426" w:header="703" w:footer="680" w:gutter="0"/>
        </w:sectPr>
        <w:rPr>
          <w:rFonts w:ascii="SimSun" w:hAnsi="SimSun" w:eastAsia="SimSun" w:cs="SimSun"/>
          <w:sz w:val="21"/>
          <w:szCs w:val="21"/>
        </w:rPr>
      </w:pPr>
    </w:p>
    <w:p>
      <w:pPr>
        <w:ind w:left="410"/>
        <w:spacing w:before="133"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确保风险管理体系符合本文件的要求；</w:t>
      </w:r>
    </w:p>
    <w:p>
      <w:pPr>
        <w:ind w:left="410"/>
        <w:spacing w:before="160" w:line="219"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34"/>
        </w:rPr>
        <w:t xml:space="preserve"> </w:t>
      </w:r>
      <w:r>
        <w:rPr>
          <w:rFonts w:ascii="SimSun" w:hAnsi="SimSun" w:eastAsia="SimSun" w:cs="SimSun"/>
          <w:sz w:val="21"/>
          <w:szCs w:val="21"/>
          <w:spacing w:val="-2"/>
        </w:rPr>
        <w:t>向最高管理者报告风险管理体系的绩效以及改进的机会；</w:t>
      </w:r>
    </w:p>
    <w:p>
      <w:pPr>
        <w:ind w:left="410"/>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促进风险管理在组织各层次、各职能的有效实施；</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确保风险管理体系各过程的运行及其有效性。</w:t>
      </w:r>
    </w:p>
    <w:p>
      <w:pPr>
        <w:ind w:left="423"/>
        <w:spacing w:before="157" w:line="221" w:lineRule="auto"/>
        <w:rPr>
          <w:rFonts w:ascii="SimSun" w:hAnsi="SimSun" w:eastAsia="SimSun" w:cs="SimSun"/>
          <w:sz w:val="21"/>
          <w:szCs w:val="21"/>
        </w:rPr>
      </w:pPr>
      <w:r>
        <w:rPr>
          <w:rFonts w:ascii="SimSun" w:hAnsi="SimSun" w:eastAsia="SimSun" w:cs="SimSun"/>
          <w:sz w:val="21"/>
          <w:szCs w:val="21"/>
          <w:spacing w:val="-1"/>
        </w:rPr>
        <w:t>组织应确保承担风险管理职责的人员知晓其职责，并具备履行相应职责的能力。</w:t>
      </w:r>
    </w:p>
    <w:p>
      <w:pPr>
        <w:pStyle w:val="BodyText"/>
        <w:spacing w:line="350" w:lineRule="auto"/>
        <w:rPr/>
      </w:pPr>
      <w:r/>
    </w:p>
    <w:p>
      <w:pPr>
        <w:ind w:left="1"/>
        <w:spacing w:before="68" w:line="234" w:lineRule="auto"/>
        <w:outlineLvl w:val="0"/>
        <w:rPr>
          <w:rFonts w:ascii="SimHei" w:hAnsi="SimHei" w:eastAsia="SimHei" w:cs="SimHei"/>
          <w:sz w:val="21"/>
          <w:szCs w:val="21"/>
        </w:rPr>
      </w:pPr>
      <w:bookmarkStart w:name="bookmark15" w:id="16"/>
      <w:bookmarkEnd w:id="16"/>
      <w:r>
        <w:rPr>
          <w:rFonts w:ascii="Times New Roman" w:hAnsi="Times New Roman" w:eastAsia="Times New Roman" w:cs="Times New Roman"/>
          <w:sz w:val="21"/>
          <w:szCs w:val="21"/>
          <w:spacing w:val="-4"/>
        </w:rPr>
        <w:t>6</w:t>
      </w:r>
      <w:r>
        <w:rPr>
          <w:rFonts w:ascii="Times New Roman" w:hAnsi="Times New Roman" w:eastAsia="Times New Roman" w:cs="Times New Roman"/>
          <w:sz w:val="21"/>
          <w:szCs w:val="21"/>
          <w:spacing w:val="7"/>
        </w:rPr>
        <w:t xml:space="preserve"> </w:t>
      </w:r>
      <w:r>
        <w:rPr>
          <w:rFonts w:ascii="SimHei" w:hAnsi="SimHei" w:eastAsia="SimHei" w:cs="SimHei"/>
          <w:sz w:val="21"/>
          <w:szCs w:val="21"/>
          <w:spacing w:val="-4"/>
        </w:rPr>
        <w:t>策划</w:t>
      </w:r>
    </w:p>
    <w:p>
      <w:pPr>
        <w:ind w:left="1"/>
        <w:spacing w:before="248" w:line="234" w:lineRule="auto"/>
        <w:outlineLvl w:val="1"/>
        <w:rPr>
          <w:rFonts w:ascii="SimHei" w:hAnsi="SimHei" w:eastAsia="SimHei" w:cs="SimHei"/>
          <w:sz w:val="21"/>
          <w:szCs w:val="21"/>
        </w:rPr>
      </w:pPr>
      <w:bookmarkStart w:name="bookmark16" w:id="17"/>
      <w:bookmarkEnd w:id="17"/>
      <w:r>
        <w:rPr>
          <w:rFonts w:ascii="Times New Roman" w:hAnsi="Times New Roman" w:eastAsia="Times New Roman" w:cs="Times New Roman"/>
          <w:sz w:val="21"/>
          <w:szCs w:val="21"/>
          <w:spacing w:val="-1"/>
        </w:rPr>
        <w:t>6.1 </w:t>
      </w:r>
      <w:r>
        <w:rPr>
          <w:rFonts w:ascii="SimHei" w:hAnsi="SimHei" w:eastAsia="SimHei" w:cs="SimHei"/>
          <w:sz w:val="21"/>
          <w:szCs w:val="21"/>
          <w:spacing w:val="-1"/>
        </w:rPr>
        <w:t>应对风险和机遇的措施</w:t>
      </w:r>
    </w:p>
    <w:p>
      <w:pPr>
        <w:ind w:left="1" w:firstLine="421"/>
        <w:spacing w:before="165" w:line="351" w:lineRule="auto"/>
        <w:rPr>
          <w:rFonts w:ascii="SimSun" w:hAnsi="SimSun" w:eastAsia="SimSun" w:cs="SimSun"/>
          <w:sz w:val="21"/>
          <w:szCs w:val="21"/>
        </w:rPr>
      </w:pPr>
      <w:r>
        <w:rPr>
          <w:rFonts w:ascii="SimSun" w:hAnsi="SimSun" w:eastAsia="SimSun" w:cs="SimSun"/>
          <w:sz w:val="21"/>
          <w:szCs w:val="21"/>
        </w:rPr>
        <w:t>组织在策划风险管理体系时，应考虑到</w:t>
      </w:r>
      <w:r>
        <w:rPr>
          <w:rFonts w:ascii="SimSun" w:hAnsi="SimSun" w:eastAsia="SimSun" w:cs="SimSun"/>
          <w:sz w:val="21"/>
          <w:szCs w:val="21"/>
          <w:spacing w:val="-37"/>
        </w:rPr>
        <w:t xml:space="preserve"> </w:t>
      </w:r>
      <w:r>
        <w:rPr>
          <w:rFonts w:ascii="Times New Roman" w:hAnsi="Times New Roman" w:eastAsia="Times New Roman" w:cs="Times New Roman"/>
          <w:sz w:val="21"/>
          <w:szCs w:val="21"/>
        </w:rPr>
        <w:t>4.1</w:t>
      </w:r>
      <w:r>
        <w:rPr>
          <w:rFonts w:ascii="Times New Roman" w:hAnsi="Times New Roman" w:eastAsia="Times New Roman" w:cs="Times New Roman"/>
          <w:sz w:val="21"/>
          <w:szCs w:val="21"/>
          <w:spacing w:val="-1"/>
        </w:rPr>
        <w:t xml:space="preserve"> </w:t>
      </w:r>
      <w:r>
        <w:rPr>
          <w:rFonts w:ascii="SimSun" w:hAnsi="SimSun" w:eastAsia="SimSun" w:cs="SimSun"/>
          <w:sz w:val="21"/>
          <w:szCs w:val="21"/>
          <w:spacing w:val="-1"/>
        </w:rPr>
        <w:t>所提及的因素和</w:t>
      </w:r>
      <w:r>
        <w:rPr>
          <w:rFonts w:ascii="SimSun" w:hAnsi="SimSun" w:eastAsia="SimSun" w:cs="SimSun"/>
          <w:sz w:val="21"/>
          <w:szCs w:val="21"/>
          <w:spacing w:val="-37"/>
        </w:rPr>
        <w:t xml:space="preserve"> </w:t>
      </w:r>
      <w:r>
        <w:rPr>
          <w:rFonts w:ascii="Times New Roman" w:hAnsi="Times New Roman" w:eastAsia="Times New Roman" w:cs="Times New Roman"/>
          <w:sz w:val="21"/>
          <w:szCs w:val="21"/>
          <w:spacing w:val="-1"/>
        </w:rPr>
        <w:t>4.2 </w:t>
      </w:r>
      <w:r>
        <w:rPr>
          <w:rFonts w:ascii="SimSun" w:hAnsi="SimSun" w:eastAsia="SimSun" w:cs="SimSun"/>
          <w:sz w:val="21"/>
          <w:szCs w:val="21"/>
          <w:spacing w:val="-1"/>
        </w:rPr>
        <w:t>所提及的要求，并确定需要应对的</w:t>
      </w:r>
      <w:r>
        <w:rPr>
          <w:rFonts w:ascii="SimSun" w:hAnsi="SimSun" w:eastAsia="SimSun" w:cs="SimSun"/>
          <w:sz w:val="21"/>
          <w:szCs w:val="21"/>
          <w:spacing w:val="-4"/>
        </w:rPr>
        <w:t>风险和机遇，以：</w:t>
      </w:r>
    </w:p>
    <w:p>
      <w:pPr>
        <w:ind w:left="410"/>
        <w:spacing w:before="1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确保风险管理体系能够实现其预期结果；</w:t>
      </w:r>
    </w:p>
    <w:p>
      <w:pPr>
        <w:ind w:left="410"/>
        <w:spacing w:before="160"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增强有利影响（机会</w:t>
      </w:r>
      <w:r>
        <w:rPr>
          <w:rFonts w:ascii="SimSun" w:hAnsi="SimSun" w:eastAsia="SimSun" w:cs="SimSun"/>
          <w:sz w:val="21"/>
          <w:szCs w:val="21"/>
          <w:spacing w:val="-12"/>
        </w:rPr>
        <w:t>）；</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预防或减少不利影响（威胁</w:t>
      </w:r>
      <w:r>
        <w:rPr>
          <w:rFonts w:ascii="SimSun" w:hAnsi="SimSun" w:eastAsia="SimSun" w:cs="SimSun"/>
          <w:sz w:val="21"/>
          <w:szCs w:val="21"/>
          <w:spacing w:val="-6"/>
        </w:rPr>
        <w:t>）；</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实现持续改进。</w:t>
      </w:r>
    </w:p>
    <w:p>
      <w:pPr>
        <w:ind w:right="14" w:firstLine="423"/>
        <w:spacing w:before="157" w:line="360" w:lineRule="auto"/>
        <w:rPr>
          <w:rFonts w:ascii="SimSun" w:hAnsi="SimSun" w:eastAsia="SimSun" w:cs="SimSun"/>
          <w:sz w:val="21"/>
          <w:szCs w:val="21"/>
        </w:rPr>
      </w:pPr>
      <w:r>
        <w:rPr>
          <w:rFonts w:ascii="SimSun" w:hAnsi="SimSun" w:eastAsia="SimSun" w:cs="SimSun"/>
          <w:sz w:val="21"/>
          <w:szCs w:val="21"/>
          <w:spacing w:val="2"/>
        </w:rPr>
        <w:t>组织应策划应对这些风险和机遇的措施，并确定如何将这些措施融入风险管理体系过程、加以实</w:t>
      </w:r>
      <w:bookmarkStart w:name="bookmark17" w:id="18"/>
      <w:bookmarkEnd w:id="18"/>
      <w:r>
        <w:rPr>
          <w:rFonts w:ascii="SimSun" w:hAnsi="SimSun" w:eastAsia="SimSun" w:cs="SimSun"/>
          <w:sz w:val="21"/>
          <w:szCs w:val="21"/>
          <w:spacing w:val="-4"/>
        </w:rPr>
        <w:t>施和评价。</w:t>
      </w:r>
    </w:p>
    <w:p>
      <w:pPr>
        <w:ind w:left="1"/>
        <w:spacing w:before="162" w:line="234" w:lineRule="auto"/>
        <w:outlineLvl w:val="1"/>
        <w:rPr>
          <w:rFonts w:ascii="SimHei" w:hAnsi="SimHei" w:eastAsia="SimHei" w:cs="SimHei"/>
          <w:sz w:val="21"/>
          <w:szCs w:val="21"/>
        </w:rPr>
      </w:pPr>
      <w:bookmarkStart w:name="bookmark43" w:id="19"/>
      <w:bookmarkEnd w:id="19"/>
      <w:r>
        <w:rPr>
          <w:rFonts w:ascii="Times New Roman" w:hAnsi="Times New Roman" w:eastAsia="Times New Roman" w:cs="Times New Roman"/>
          <w:sz w:val="21"/>
          <w:szCs w:val="21"/>
          <w:spacing w:val="-1"/>
        </w:rPr>
        <w:t>6.2 </w:t>
      </w:r>
      <w:r>
        <w:rPr>
          <w:rFonts w:ascii="SimHei" w:hAnsi="SimHei" w:eastAsia="SimHei" w:cs="SimHei"/>
          <w:sz w:val="21"/>
          <w:szCs w:val="21"/>
          <w:spacing w:val="-1"/>
        </w:rPr>
        <w:t>风险准则</w:t>
      </w:r>
    </w:p>
    <w:p>
      <w:pPr>
        <w:ind w:left="423"/>
        <w:spacing w:before="164" w:line="219" w:lineRule="auto"/>
        <w:rPr>
          <w:rFonts w:ascii="SimSun" w:hAnsi="SimSun" w:eastAsia="SimSun" w:cs="SimSun"/>
          <w:sz w:val="21"/>
          <w:szCs w:val="21"/>
        </w:rPr>
      </w:pPr>
      <w:r>
        <w:rPr>
          <w:rFonts w:ascii="SimSun" w:hAnsi="SimSun" w:eastAsia="SimSun" w:cs="SimSun"/>
          <w:sz w:val="21"/>
          <w:szCs w:val="21"/>
        </w:rPr>
        <w:t>组织应确定用于评价风险重要程度和支持相关决策的</w:t>
      </w:r>
      <w:r>
        <w:rPr>
          <w:rFonts w:ascii="SimSun" w:hAnsi="SimSun" w:eastAsia="SimSun" w:cs="SimSun"/>
          <w:sz w:val="21"/>
          <w:szCs w:val="21"/>
          <w:spacing w:val="-1"/>
        </w:rPr>
        <w:t>风险准则。</w:t>
      </w:r>
    </w:p>
    <w:p>
      <w:pPr>
        <w:ind w:left="421"/>
        <w:spacing w:before="159" w:line="219" w:lineRule="auto"/>
        <w:rPr>
          <w:rFonts w:ascii="SimSun" w:hAnsi="SimSun" w:eastAsia="SimSun" w:cs="SimSun"/>
          <w:sz w:val="21"/>
          <w:szCs w:val="21"/>
        </w:rPr>
      </w:pPr>
      <w:r>
        <w:rPr>
          <w:rFonts w:ascii="SimSun" w:hAnsi="SimSun" w:eastAsia="SimSun" w:cs="SimSun"/>
          <w:sz w:val="21"/>
          <w:szCs w:val="21"/>
          <w:spacing w:val="-2"/>
        </w:rPr>
        <w:t>风险准则应反映组织的价值观、目标和资源，并应包含：</w:t>
      </w:r>
    </w:p>
    <w:p>
      <w:pPr>
        <w:ind w:left="410"/>
        <w:spacing w:before="16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可接受的风险等级或风险容忍度；</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可能性和后果的衡量方法及等级划分；</w:t>
      </w:r>
    </w:p>
    <w:p>
      <w:pPr>
        <w:ind w:left="410"/>
        <w:spacing w:before="158"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风险评价的方法和风险矩阵；</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风险应对的优先次序和偏好；</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如何衡量风险管理绩效。</w:t>
      </w:r>
    </w:p>
    <w:p>
      <w:pPr>
        <w:ind w:left="423"/>
        <w:spacing w:before="159" w:line="221" w:lineRule="auto"/>
        <w:rPr>
          <w:rFonts w:ascii="SimSun" w:hAnsi="SimSun" w:eastAsia="SimSun" w:cs="SimSun"/>
          <w:sz w:val="21"/>
          <w:szCs w:val="21"/>
        </w:rPr>
      </w:pPr>
      <w:r>
        <w:rPr>
          <w:rFonts w:ascii="SimSun" w:hAnsi="SimSun" w:eastAsia="SimSun" w:cs="SimSun"/>
          <w:sz w:val="21"/>
          <w:szCs w:val="21"/>
        </w:rPr>
        <w:t>组织应保持风险准则的成文信息，并在环境发生变化时对其进行评</w:t>
      </w:r>
      <w:r>
        <w:rPr>
          <w:rFonts w:ascii="SimSun" w:hAnsi="SimSun" w:eastAsia="SimSun" w:cs="SimSun"/>
          <w:sz w:val="21"/>
          <w:szCs w:val="21"/>
          <w:spacing w:val="-1"/>
        </w:rPr>
        <w:t>审和更新。</w:t>
      </w:r>
    </w:p>
    <w:p>
      <w:pPr>
        <w:pStyle w:val="BodyText"/>
        <w:spacing w:line="250" w:lineRule="auto"/>
        <w:rPr/>
      </w:pPr>
      <w:r/>
    </w:p>
    <w:p>
      <w:pPr>
        <w:ind w:left="1"/>
        <w:spacing w:before="69" w:line="234" w:lineRule="auto"/>
        <w:outlineLvl w:val="1"/>
        <w:rPr>
          <w:rFonts w:ascii="SimHei" w:hAnsi="SimHei" w:eastAsia="SimHei" w:cs="SimHei"/>
          <w:sz w:val="21"/>
          <w:szCs w:val="21"/>
        </w:rPr>
      </w:pPr>
      <w:bookmarkStart w:name="bookmark18" w:id="20"/>
      <w:bookmarkEnd w:id="20"/>
      <w:r>
        <w:rPr>
          <w:rFonts w:ascii="Times New Roman" w:hAnsi="Times New Roman" w:eastAsia="Times New Roman" w:cs="Times New Roman"/>
          <w:sz w:val="21"/>
          <w:szCs w:val="21"/>
          <w:spacing w:val="-1"/>
        </w:rPr>
        <w:t>6.3 </w:t>
      </w:r>
      <w:r>
        <w:rPr>
          <w:rFonts w:ascii="SimHei" w:hAnsi="SimHei" w:eastAsia="SimHei" w:cs="SimHei"/>
          <w:sz w:val="21"/>
          <w:szCs w:val="21"/>
          <w:spacing w:val="-1"/>
        </w:rPr>
        <w:t>风险管理目标及其实现的策划</w:t>
      </w:r>
    </w:p>
    <w:p>
      <w:pPr>
        <w:ind w:left="423"/>
        <w:spacing w:before="163" w:line="221" w:lineRule="auto"/>
        <w:rPr>
          <w:rFonts w:ascii="SimSun" w:hAnsi="SimSun" w:eastAsia="SimSun" w:cs="SimSun"/>
          <w:sz w:val="21"/>
          <w:szCs w:val="21"/>
        </w:rPr>
      </w:pPr>
      <w:r>
        <w:rPr>
          <w:rFonts w:ascii="SimSun" w:hAnsi="SimSun" w:eastAsia="SimSun" w:cs="SimSun"/>
          <w:sz w:val="21"/>
          <w:szCs w:val="21"/>
          <w:spacing w:val="-1"/>
        </w:rPr>
        <w:t>组织应在相关职能、层次和风险管理体系所需的过程上建立风险管理目标。</w:t>
      </w:r>
    </w:p>
    <w:p>
      <w:pPr>
        <w:ind w:left="421"/>
        <w:spacing w:before="159" w:line="221" w:lineRule="auto"/>
        <w:rPr>
          <w:rFonts w:ascii="SimSun" w:hAnsi="SimSun" w:eastAsia="SimSun" w:cs="SimSun"/>
          <w:sz w:val="21"/>
          <w:szCs w:val="21"/>
        </w:rPr>
      </w:pPr>
      <w:r>
        <w:rPr>
          <w:rFonts w:ascii="SimSun" w:hAnsi="SimSun" w:eastAsia="SimSun" w:cs="SimSun"/>
          <w:sz w:val="21"/>
          <w:szCs w:val="21"/>
          <w:spacing w:val="-1"/>
        </w:rPr>
        <w:t>风险管理目标应：</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与风险管理方针一致；</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可测量（可行时</w:t>
      </w:r>
      <w:r>
        <w:rPr>
          <w:rFonts w:ascii="SimSun" w:hAnsi="SimSun" w:eastAsia="SimSun" w:cs="SimSun"/>
          <w:sz w:val="21"/>
          <w:szCs w:val="21"/>
          <w:spacing w:val="1"/>
        </w:rPr>
        <w:t>）；</w:t>
      </w:r>
    </w:p>
    <w:p>
      <w:pPr>
        <w:ind w:left="410"/>
        <w:spacing w:before="156"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考虑适用的要求；</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予以监视；</w:t>
      </w:r>
    </w:p>
    <w:p>
      <w:pPr>
        <w:ind w:left="410"/>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予以沟通；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适当时予以更新。</w:t>
      </w:r>
    </w:p>
    <w:p>
      <w:pPr>
        <w:ind w:left="423"/>
        <w:spacing w:before="156" w:line="221" w:lineRule="auto"/>
        <w:rPr>
          <w:rFonts w:ascii="SimSun" w:hAnsi="SimSun" w:eastAsia="SimSun" w:cs="SimSun"/>
          <w:sz w:val="21"/>
          <w:szCs w:val="21"/>
        </w:rPr>
      </w:pPr>
      <w:r>
        <w:rPr>
          <w:rFonts w:ascii="SimSun" w:hAnsi="SimSun" w:eastAsia="SimSun" w:cs="SimSun"/>
          <w:sz w:val="21"/>
          <w:szCs w:val="21"/>
          <w:spacing w:val="-1"/>
        </w:rPr>
        <w:t>组织应保持风险管理目标的成文信息。</w:t>
      </w:r>
    </w:p>
    <w:p>
      <w:pPr>
        <w:spacing w:line="221" w:lineRule="auto"/>
        <w:sectPr>
          <w:headerReference w:type="default" r:id="rId14"/>
          <w:footerReference w:type="default" r:id="rId15"/>
          <w:pgSz w:w="11907" w:h="16839"/>
          <w:pgMar w:top="1028" w:right="1128" w:bottom="880" w:left="1423" w:header="703" w:footer="680" w:gutter="0"/>
        </w:sectPr>
        <w:rPr>
          <w:rFonts w:ascii="SimSun" w:hAnsi="SimSun" w:eastAsia="SimSun" w:cs="SimSun"/>
          <w:sz w:val="21"/>
          <w:szCs w:val="21"/>
        </w:rPr>
      </w:pPr>
    </w:p>
    <w:p>
      <w:pPr>
        <w:ind w:left="419"/>
        <w:spacing w:before="133" w:line="221" w:lineRule="auto"/>
        <w:rPr>
          <w:rFonts w:ascii="SimSun" w:hAnsi="SimSun" w:eastAsia="SimSun" w:cs="SimSun"/>
          <w:sz w:val="21"/>
          <w:szCs w:val="21"/>
        </w:rPr>
      </w:pPr>
      <w:r>
        <w:rPr>
          <w:rFonts w:ascii="SimSun" w:hAnsi="SimSun" w:eastAsia="SimSun" w:cs="SimSun"/>
          <w:sz w:val="21"/>
          <w:szCs w:val="21"/>
          <w:spacing w:val="-1"/>
        </w:rPr>
        <w:t>在策划如何实现风险管理目标时，组织应确定：</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3"/>
        </w:rPr>
        <w:t>—— </w:t>
      </w:r>
      <w:r>
        <w:rPr>
          <w:rFonts w:ascii="SimSun" w:hAnsi="SimSun" w:eastAsia="SimSun" w:cs="SimSun"/>
          <w:sz w:val="21"/>
          <w:szCs w:val="21"/>
          <w:spacing w:val="-3"/>
        </w:rPr>
        <w:t>做什么；</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21"/>
        </w:rPr>
        <w:t xml:space="preserve"> </w:t>
      </w:r>
      <w:r>
        <w:rPr>
          <w:rFonts w:ascii="SimSun" w:hAnsi="SimSun" w:eastAsia="SimSun" w:cs="SimSun"/>
          <w:sz w:val="21"/>
          <w:szCs w:val="21"/>
          <w:spacing w:val="-2"/>
        </w:rPr>
        <w:t>需要什么资源；</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31"/>
        </w:rPr>
        <w:t xml:space="preserve"> </w:t>
      </w:r>
      <w:r>
        <w:rPr>
          <w:rFonts w:ascii="SimSun" w:hAnsi="SimSun" w:eastAsia="SimSun" w:cs="SimSun"/>
          <w:sz w:val="21"/>
          <w:szCs w:val="21"/>
          <w:spacing w:val="-4"/>
        </w:rPr>
        <w:t>由谁负责；</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何时完成；</w:t>
      </w:r>
    </w:p>
    <w:p>
      <w:pPr>
        <w:ind w:left="410"/>
        <w:spacing w:before="160"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如何评价结果。</w:t>
      </w:r>
    </w:p>
    <w:p>
      <w:pPr>
        <w:pStyle w:val="BodyText"/>
        <w:spacing w:line="350" w:lineRule="auto"/>
        <w:rPr/>
      </w:pPr>
      <w:r/>
    </w:p>
    <w:p>
      <w:pPr>
        <w:spacing w:before="68" w:line="234" w:lineRule="auto"/>
        <w:outlineLvl w:val="0"/>
        <w:rPr>
          <w:rFonts w:ascii="SimHei" w:hAnsi="SimHei" w:eastAsia="SimHei" w:cs="SimHei"/>
          <w:sz w:val="21"/>
          <w:szCs w:val="21"/>
        </w:rPr>
      </w:pPr>
      <w:bookmarkStart w:name="bookmark19" w:id="21"/>
      <w:bookmarkEnd w:id="21"/>
      <w:r>
        <w:rPr>
          <w:rFonts w:ascii="Times New Roman" w:hAnsi="Times New Roman" w:eastAsia="Times New Roman" w:cs="Times New Roman"/>
          <w:sz w:val="21"/>
          <w:szCs w:val="21"/>
          <w:spacing w:val="-5"/>
        </w:rPr>
        <w:t>7</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5"/>
        </w:rPr>
        <w:t>支持</w:t>
      </w:r>
    </w:p>
    <w:p>
      <w:pPr>
        <w:spacing w:before="250" w:line="233" w:lineRule="auto"/>
        <w:outlineLvl w:val="1"/>
        <w:rPr>
          <w:rFonts w:ascii="SimHei" w:hAnsi="SimHei" w:eastAsia="SimHei" w:cs="SimHei"/>
          <w:sz w:val="21"/>
          <w:szCs w:val="21"/>
        </w:rPr>
      </w:pPr>
      <w:bookmarkStart w:name="bookmark20" w:id="22"/>
      <w:bookmarkEnd w:id="22"/>
      <w:r>
        <w:rPr>
          <w:rFonts w:ascii="Times New Roman" w:hAnsi="Times New Roman" w:eastAsia="Times New Roman" w:cs="Times New Roman"/>
          <w:sz w:val="21"/>
          <w:szCs w:val="21"/>
          <w:spacing w:val="-3"/>
        </w:rPr>
        <w:t>7.1</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3"/>
        </w:rPr>
        <w:t>资源</w:t>
      </w:r>
    </w:p>
    <w:p>
      <w:pPr>
        <w:ind w:left="422"/>
        <w:spacing w:before="165" w:line="220" w:lineRule="auto"/>
        <w:rPr>
          <w:rFonts w:ascii="SimSun" w:hAnsi="SimSun" w:eastAsia="SimSun" w:cs="SimSun"/>
          <w:sz w:val="21"/>
          <w:szCs w:val="21"/>
        </w:rPr>
      </w:pPr>
      <w:r>
        <w:rPr>
          <w:rFonts w:ascii="SimSun" w:hAnsi="SimSun" w:eastAsia="SimSun" w:cs="SimSun"/>
          <w:sz w:val="21"/>
          <w:szCs w:val="21"/>
          <w:spacing w:val="-1"/>
        </w:rPr>
        <w:t>组织应确定并提供建立、实施、保持和持续改进风险管理体系所需的资源。</w:t>
      </w:r>
    </w:p>
    <w:p>
      <w:pPr>
        <w:ind w:left="422"/>
        <w:spacing w:before="157" w:line="220" w:lineRule="auto"/>
        <w:rPr>
          <w:rFonts w:ascii="SimSun" w:hAnsi="SimSun" w:eastAsia="SimSun" w:cs="SimSun"/>
          <w:sz w:val="21"/>
          <w:szCs w:val="21"/>
        </w:rPr>
      </w:pPr>
      <w:r>
        <w:rPr>
          <w:rFonts w:ascii="SimSun" w:hAnsi="SimSun" w:eastAsia="SimSun" w:cs="SimSun"/>
          <w:sz w:val="21"/>
          <w:szCs w:val="21"/>
          <w:spacing w:val="-2"/>
        </w:rPr>
        <w:t>组织应考虑：</w:t>
      </w:r>
    </w:p>
    <w:p>
      <w:pPr>
        <w:ind w:left="410"/>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现有内部资源的能力和局限；</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8"/>
          <w:w w:val="101"/>
        </w:rPr>
        <w:t xml:space="preserve"> </w:t>
      </w:r>
      <w:r>
        <w:rPr>
          <w:rFonts w:ascii="SimSun" w:hAnsi="SimSun" w:eastAsia="SimSun" w:cs="SimSun"/>
          <w:sz w:val="21"/>
          <w:szCs w:val="21"/>
          <w:spacing w:val="-1"/>
        </w:rPr>
        <w:t>需要从外部供方获得的资源。</w:t>
      </w:r>
    </w:p>
    <w:p>
      <w:pPr>
        <w:ind w:left="429"/>
        <w:spacing w:before="158" w:line="221" w:lineRule="auto"/>
        <w:rPr>
          <w:rFonts w:ascii="SimSun" w:hAnsi="SimSun" w:eastAsia="SimSun" w:cs="SimSun"/>
          <w:sz w:val="21"/>
          <w:szCs w:val="21"/>
        </w:rPr>
      </w:pPr>
      <w:r>
        <w:rPr>
          <w:rFonts w:ascii="SimSun" w:hAnsi="SimSun" w:eastAsia="SimSun" w:cs="SimSun"/>
          <w:sz w:val="21"/>
          <w:szCs w:val="21"/>
          <w:spacing w:val="-1"/>
        </w:rPr>
        <w:t>资源可包括人力资源、财务资源、技术工具、信息系统和专业知识等。</w:t>
      </w:r>
    </w:p>
    <w:p>
      <w:pPr>
        <w:pStyle w:val="BodyText"/>
        <w:spacing w:line="250" w:lineRule="auto"/>
        <w:rPr/>
      </w:pPr>
      <w:r/>
    </w:p>
    <w:p>
      <w:pPr>
        <w:spacing w:before="68" w:line="234" w:lineRule="auto"/>
        <w:outlineLvl w:val="1"/>
        <w:rPr>
          <w:rFonts w:ascii="SimHei" w:hAnsi="SimHei" w:eastAsia="SimHei" w:cs="SimHei"/>
          <w:sz w:val="21"/>
          <w:szCs w:val="21"/>
        </w:rPr>
      </w:pPr>
      <w:bookmarkStart w:name="bookmark21" w:id="23"/>
      <w:bookmarkEnd w:id="23"/>
      <w:r>
        <w:rPr>
          <w:rFonts w:ascii="Times New Roman" w:hAnsi="Times New Roman" w:eastAsia="Times New Roman" w:cs="Times New Roman"/>
          <w:sz w:val="21"/>
          <w:szCs w:val="21"/>
          <w:spacing w:val="-3"/>
        </w:rPr>
        <w:t>7.2</w:t>
      </w:r>
      <w:r>
        <w:rPr>
          <w:rFonts w:ascii="Times New Roman" w:hAnsi="Times New Roman" w:eastAsia="Times New Roman" w:cs="Times New Roman"/>
          <w:sz w:val="21"/>
          <w:szCs w:val="21"/>
          <w:spacing w:val="15"/>
        </w:rPr>
        <w:t xml:space="preserve"> </w:t>
      </w:r>
      <w:r>
        <w:rPr>
          <w:rFonts w:ascii="SimHei" w:hAnsi="SimHei" w:eastAsia="SimHei" w:cs="SimHei"/>
          <w:sz w:val="21"/>
          <w:szCs w:val="21"/>
          <w:spacing w:val="-3"/>
        </w:rPr>
        <w:t>能力</w:t>
      </w:r>
    </w:p>
    <w:p>
      <w:pPr>
        <w:ind w:left="422"/>
        <w:spacing w:before="166" w:line="223" w:lineRule="auto"/>
        <w:rPr>
          <w:rFonts w:ascii="SimSun" w:hAnsi="SimSun" w:eastAsia="SimSun" w:cs="SimSun"/>
          <w:sz w:val="21"/>
          <w:szCs w:val="21"/>
        </w:rPr>
      </w:pPr>
      <w:r>
        <w:rPr>
          <w:rFonts w:ascii="SimSun" w:hAnsi="SimSun" w:eastAsia="SimSun" w:cs="SimSun"/>
          <w:sz w:val="21"/>
          <w:szCs w:val="21"/>
          <w:spacing w:val="-2"/>
        </w:rPr>
        <w:t>组织应：</w:t>
      </w:r>
    </w:p>
    <w:p>
      <w:pPr>
        <w:ind w:left="410"/>
        <w:spacing w:before="154"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确定在其控制下从事影响风险管理体系绩效的人员所需具备的能力；</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基于适当的教育、培训或经历，确保这些人员具备所需能力；</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适当时，采取措施获得所需能力，并评价所采取措施的有效性；</w:t>
      </w:r>
    </w:p>
    <w:p>
      <w:pPr>
        <w:ind w:left="410"/>
        <w:spacing w:before="161"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保留适当的成文信息，作为能力的证据。</w:t>
      </w:r>
    </w:p>
    <w:p>
      <w:pPr>
        <w:pStyle w:val="BodyText"/>
        <w:spacing w:line="251" w:lineRule="auto"/>
        <w:rPr/>
      </w:pPr>
      <w:r/>
    </w:p>
    <w:p>
      <w:pPr>
        <w:spacing w:before="68" w:line="234" w:lineRule="auto"/>
        <w:outlineLvl w:val="1"/>
        <w:rPr>
          <w:rFonts w:ascii="SimHei" w:hAnsi="SimHei" w:eastAsia="SimHei" w:cs="SimHei"/>
          <w:sz w:val="21"/>
          <w:szCs w:val="21"/>
        </w:rPr>
      </w:pPr>
      <w:bookmarkStart w:name="bookmark22" w:id="24"/>
      <w:bookmarkEnd w:id="24"/>
      <w:r>
        <w:rPr>
          <w:rFonts w:ascii="Times New Roman" w:hAnsi="Times New Roman" w:eastAsia="Times New Roman" w:cs="Times New Roman"/>
          <w:sz w:val="21"/>
          <w:szCs w:val="21"/>
          <w:spacing w:val="-3"/>
        </w:rPr>
        <w:t>7.3</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3"/>
        </w:rPr>
        <w:t>意识</w:t>
      </w:r>
    </w:p>
    <w:p>
      <w:pPr>
        <w:ind w:left="422"/>
        <w:spacing w:before="163" w:line="221" w:lineRule="auto"/>
        <w:rPr>
          <w:rFonts w:ascii="SimSun" w:hAnsi="SimSun" w:eastAsia="SimSun" w:cs="SimSun"/>
          <w:sz w:val="21"/>
          <w:szCs w:val="21"/>
        </w:rPr>
      </w:pPr>
      <w:r>
        <w:rPr>
          <w:rFonts w:ascii="SimSun" w:hAnsi="SimSun" w:eastAsia="SimSun" w:cs="SimSun"/>
          <w:sz w:val="21"/>
          <w:szCs w:val="21"/>
          <w:spacing w:val="-2"/>
        </w:rPr>
        <w:t>组织应确保在其控制下工作的人员知晓：</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风险管理方针和风险管理目标；</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42"/>
        </w:rPr>
        <w:t xml:space="preserve"> </w:t>
      </w:r>
      <w:r>
        <w:rPr>
          <w:rFonts w:ascii="SimSun" w:hAnsi="SimSun" w:eastAsia="SimSun" w:cs="SimSun"/>
          <w:sz w:val="21"/>
          <w:szCs w:val="21"/>
          <w:spacing w:val="-2"/>
        </w:rPr>
        <w:t>自身对风险管理体系有效性的贡献，包括对改进风险管理的贡献；</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不符合风险管理体系要求所带来的后果；</w:t>
      </w:r>
    </w:p>
    <w:p>
      <w:pPr>
        <w:ind w:left="410"/>
        <w:spacing w:before="158"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在其职责范围内识别和报告风险的义务。</w:t>
      </w:r>
    </w:p>
    <w:p>
      <w:pPr>
        <w:pStyle w:val="BodyText"/>
        <w:spacing w:line="252" w:lineRule="auto"/>
        <w:rPr/>
      </w:pPr>
      <w:r/>
    </w:p>
    <w:p>
      <w:pPr>
        <w:spacing w:before="69" w:line="234" w:lineRule="auto"/>
        <w:outlineLvl w:val="1"/>
        <w:rPr>
          <w:rFonts w:ascii="SimHei" w:hAnsi="SimHei" w:eastAsia="SimHei" w:cs="SimHei"/>
          <w:sz w:val="21"/>
          <w:szCs w:val="21"/>
        </w:rPr>
      </w:pPr>
      <w:bookmarkStart w:name="bookmark23" w:id="25"/>
      <w:bookmarkEnd w:id="25"/>
      <w:r>
        <w:rPr>
          <w:rFonts w:ascii="Times New Roman" w:hAnsi="Times New Roman" w:eastAsia="Times New Roman" w:cs="Times New Roman"/>
          <w:sz w:val="21"/>
          <w:szCs w:val="21"/>
          <w:spacing w:val="-1"/>
        </w:rPr>
        <w:t>7.4 </w:t>
      </w:r>
      <w:r>
        <w:rPr>
          <w:rFonts w:ascii="SimHei" w:hAnsi="SimHei" w:eastAsia="SimHei" w:cs="SimHei"/>
          <w:sz w:val="21"/>
          <w:szCs w:val="21"/>
          <w:spacing w:val="-1"/>
        </w:rPr>
        <w:t>沟通和咨询</w:t>
      </w:r>
    </w:p>
    <w:p>
      <w:pPr>
        <w:ind w:left="422" w:right="138"/>
        <w:spacing w:before="164" w:line="359" w:lineRule="auto"/>
        <w:rPr>
          <w:rFonts w:ascii="SimSun" w:hAnsi="SimSun" w:eastAsia="SimSun" w:cs="SimSun"/>
          <w:sz w:val="21"/>
          <w:szCs w:val="21"/>
        </w:rPr>
      </w:pPr>
      <w:r>
        <w:rPr>
          <w:rFonts w:ascii="SimSun" w:hAnsi="SimSun" w:eastAsia="SimSun" w:cs="SimSun"/>
          <w:sz w:val="21"/>
          <w:szCs w:val="21"/>
          <w:spacing w:val="-1"/>
        </w:rPr>
        <w:t>组织应建立并实施内部和外部的沟通和咨询机制，以促进信息的有效流动和相关方的适当参与。</w:t>
      </w:r>
      <w:r>
        <w:rPr>
          <w:rFonts w:ascii="SimSun" w:hAnsi="SimSun" w:eastAsia="SimSun" w:cs="SimSun"/>
          <w:sz w:val="21"/>
          <w:szCs w:val="21"/>
          <w:spacing w:val="-1"/>
        </w:rPr>
        <w:t>组织应确定与风险管理体系相关的内部和外部沟通，包括：</w:t>
      </w:r>
    </w:p>
    <w:p>
      <w:pPr>
        <w:ind w:left="410"/>
        <w:spacing w:before="1"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沟通和咨询什么；</w:t>
      </w:r>
    </w:p>
    <w:p>
      <w:pPr>
        <w:ind w:left="410"/>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何时沟通和咨询；</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与谁沟通和咨询；</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如何沟通和咨询；</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谁负责沟通和咨询。</w:t>
      </w:r>
    </w:p>
    <w:p>
      <w:pPr>
        <w:spacing w:line="221" w:lineRule="auto"/>
        <w:sectPr>
          <w:headerReference w:type="default" r:id="rId16"/>
          <w:footerReference w:type="default" r:id="rId17"/>
          <w:pgSz w:w="11907" w:h="16839"/>
          <w:pgMar w:top="1028" w:right="1134" w:bottom="880" w:left="1424" w:header="703" w:footer="680" w:gutter="0"/>
        </w:sectPr>
        <w:rPr>
          <w:rFonts w:ascii="SimSun" w:hAnsi="SimSun" w:eastAsia="SimSun" w:cs="SimSun"/>
          <w:sz w:val="21"/>
          <w:szCs w:val="21"/>
        </w:rPr>
      </w:pPr>
    </w:p>
    <w:p>
      <w:pPr>
        <w:ind w:left="420"/>
        <w:spacing w:before="133" w:line="220" w:lineRule="auto"/>
        <w:rPr>
          <w:rFonts w:ascii="SimSun" w:hAnsi="SimSun" w:eastAsia="SimSun" w:cs="SimSun"/>
          <w:sz w:val="21"/>
          <w:szCs w:val="21"/>
        </w:rPr>
      </w:pPr>
      <w:r>
        <w:rPr>
          <w:rFonts w:ascii="SimSun" w:hAnsi="SimSun" w:eastAsia="SimSun" w:cs="SimSun"/>
          <w:sz w:val="21"/>
          <w:szCs w:val="21"/>
        </w:rPr>
        <w:t>沟通和咨询应贯穿于风险管理过程的所有阶段，并考虑相关方的需求和</w:t>
      </w:r>
      <w:r>
        <w:rPr>
          <w:rFonts w:ascii="SimSun" w:hAnsi="SimSun" w:eastAsia="SimSun" w:cs="SimSun"/>
          <w:sz w:val="21"/>
          <w:szCs w:val="21"/>
          <w:spacing w:val="-1"/>
        </w:rPr>
        <w:t>期望。</w:t>
      </w:r>
    </w:p>
    <w:p>
      <w:pPr>
        <w:pStyle w:val="BodyText"/>
        <w:spacing w:line="253" w:lineRule="auto"/>
        <w:rPr/>
      </w:pPr>
      <w:r/>
    </w:p>
    <w:p>
      <w:pPr>
        <w:spacing w:before="69" w:line="234" w:lineRule="auto"/>
        <w:outlineLvl w:val="1"/>
        <w:rPr>
          <w:rFonts w:ascii="SimHei" w:hAnsi="SimHei" w:eastAsia="SimHei" w:cs="SimHei"/>
          <w:sz w:val="21"/>
          <w:szCs w:val="21"/>
        </w:rPr>
      </w:pPr>
      <w:bookmarkStart w:name="bookmark24" w:id="26"/>
      <w:bookmarkEnd w:id="26"/>
      <w:r>
        <w:rPr>
          <w:rFonts w:ascii="Times New Roman" w:hAnsi="Times New Roman" w:eastAsia="Times New Roman" w:cs="Times New Roman"/>
          <w:sz w:val="21"/>
          <w:szCs w:val="21"/>
          <w:spacing w:val="-1"/>
        </w:rPr>
        <w:t>7.5 </w:t>
      </w:r>
      <w:r>
        <w:rPr>
          <w:rFonts w:ascii="SimHei" w:hAnsi="SimHei" w:eastAsia="SimHei" w:cs="SimHei"/>
          <w:sz w:val="21"/>
          <w:szCs w:val="21"/>
          <w:spacing w:val="-1"/>
        </w:rPr>
        <w:t>成文信息</w:t>
      </w:r>
    </w:p>
    <w:p>
      <w:pPr>
        <w:spacing w:before="204" w:line="234" w:lineRule="auto"/>
        <w:rPr>
          <w:rFonts w:ascii="SimHei" w:hAnsi="SimHei" w:eastAsia="SimHei" w:cs="SimHei"/>
          <w:sz w:val="21"/>
          <w:szCs w:val="21"/>
        </w:rPr>
      </w:pPr>
      <w:r>
        <w:rPr>
          <w:rFonts w:ascii="Times New Roman" w:hAnsi="Times New Roman" w:eastAsia="Times New Roman" w:cs="Times New Roman"/>
          <w:sz w:val="21"/>
          <w:szCs w:val="21"/>
          <w:spacing w:val="-2"/>
        </w:rPr>
        <w:t>7.5.1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2"/>
        </w:rPr>
        <w:t>总则</w:t>
      </w:r>
    </w:p>
    <w:p>
      <w:pPr>
        <w:ind w:left="422"/>
        <w:spacing w:before="146" w:line="221" w:lineRule="auto"/>
        <w:rPr>
          <w:rFonts w:ascii="SimSun" w:hAnsi="SimSun" w:eastAsia="SimSun" w:cs="SimSun"/>
          <w:sz w:val="21"/>
          <w:szCs w:val="21"/>
        </w:rPr>
      </w:pPr>
      <w:r>
        <w:rPr>
          <w:rFonts w:ascii="SimSun" w:hAnsi="SimSun" w:eastAsia="SimSun" w:cs="SimSun"/>
          <w:sz w:val="21"/>
          <w:szCs w:val="21"/>
          <w:spacing w:val="-3"/>
        </w:rPr>
        <w:t>组织的风险管理体系应包括：</w:t>
      </w:r>
    </w:p>
    <w:p>
      <w:pPr>
        <w:ind w:left="410"/>
        <w:spacing w:before="159"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本文件要求的成文信息；</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组织确定的为确保风险管理体系有效性所必需的成文信息。</w:t>
      </w:r>
    </w:p>
    <w:p>
      <w:pPr>
        <w:ind w:right="175"/>
        <w:spacing w:before="154" w:line="315" w:lineRule="auto"/>
        <w:rPr>
          <w:rFonts w:ascii="SimSun" w:hAnsi="SimSun" w:eastAsia="SimSun" w:cs="SimSun"/>
          <w:sz w:val="18"/>
          <w:szCs w:val="18"/>
        </w:rPr>
      </w:pPr>
      <w:r>
        <w:rPr>
          <w:rFonts w:ascii="SimHei" w:hAnsi="SimHei" w:eastAsia="SimHei" w:cs="SimHei"/>
          <w:sz w:val="18"/>
          <w:szCs w:val="18"/>
        </w:rPr>
        <w:t>注：</w:t>
      </w:r>
      <w:r>
        <w:rPr>
          <w:rFonts w:ascii="SimSun" w:hAnsi="SimSun" w:eastAsia="SimSun" w:cs="SimSun"/>
          <w:sz w:val="18"/>
          <w:szCs w:val="18"/>
        </w:rPr>
        <w:t>不同组织的风险管理体系成文信息的多少与详略程度可以不同，取决于组织的规模、活</w:t>
      </w:r>
      <w:r>
        <w:rPr>
          <w:rFonts w:ascii="SimSun" w:hAnsi="SimSun" w:eastAsia="SimSun" w:cs="SimSun"/>
          <w:sz w:val="18"/>
          <w:szCs w:val="18"/>
          <w:spacing w:val="-1"/>
        </w:rPr>
        <w:t>动类型、过程及其相互作</w:t>
      </w:r>
      <w:r>
        <w:rPr>
          <w:rFonts w:ascii="SimSun" w:hAnsi="SimSun" w:eastAsia="SimSun" w:cs="SimSun"/>
          <w:sz w:val="18"/>
          <w:szCs w:val="18"/>
          <w:spacing w:val="-3"/>
        </w:rPr>
        <w:t>用的复杂程度以及人员的能力。</w:t>
      </w:r>
    </w:p>
    <w:p>
      <w:pPr>
        <w:spacing w:before="118" w:line="233" w:lineRule="auto"/>
        <w:rPr>
          <w:rFonts w:ascii="SimHei" w:hAnsi="SimHei" w:eastAsia="SimHei" w:cs="SimHei"/>
          <w:sz w:val="21"/>
          <w:szCs w:val="21"/>
        </w:rPr>
      </w:pPr>
      <w:r>
        <w:rPr>
          <w:rFonts w:ascii="Times New Roman" w:hAnsi="Times New Roman" w:eastAsia="Times New Roman" w:cs="Times New Roman"/>
          <w:sz w:val="21"/>
          <w:szCs w:val="21"/>
          <w:spacing w:val="-1"/>
        </w:rPr>
        <w:t>7.5.2 </w:t>
      </w:r>
      <w:r>
        <w:rPr>
          <w:rFonts w:ascii="SimHei" w:hAnsi="SimHei" w:eastAsia="SimHei" w:cs="SimHei"/>
          <w:sz w:val="21"/>
          <w:szCs w:val="21"/>
          <w:spacing w:val="-1"/>
        </w:rPr>
        <w:t>创建和更新</w:t>
      </w:r>
    </w:p>
    <w:p>
      <w:pPr>
        <w:ind w:left="422"/>
        <w:spacing w:before="145" w:line="221" w:lineRule="auto"/>
        <w:rPr>
          <w:rFonts w:ascii="SimSun" w:hAnsi="SimSun" w:eastAsia="SimSun" w:cs="SimSun"/>
          <w:sz w:val="21"/>
          <w:szCs w:val="21"/>
        </w:rPr>
      </w:pPr>
      <w:r>
        <w:rPr>
          <w:rFonts w:ascii="SimSun" w:hAnsi="SimSun" w:eastAsia="SimSun" w:cs="SimSun"/>
          <w:sz w:val="21"/>
          <w:szCs w:val="21"/>
          <w:spacing w:val="-2"/>
        </w:rPr>
        <w:t>组织在创建和更新成文信息时，应确保：</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适当的标识和说明（如标题、日期、作者、编号</w:t>
      </w:r>
      <w:r>
        <w:rPr>
          <w:rFonts w:ascii="SimSun" w:hAnsi="SimSun" w:eastAsia="SimSun" w:cs="SimSun"/>
          <w:sz w:val="21"/>
          <w:szCs w:val="21"/>
          <w:spacing w:val="-5"/>
        </w:rPr>
        <w:t>）；</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适当的格式和媒介；</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适当的评审和批准。</w:t>
      </w:r>
    </w:p>
    <w:p>
      <w:pPr>
        <w:spacing w:before="278" w:line="234" w:lineRule="auto"/>
        <w:rPr>
          <w:rFonts w:ascii="SimHei" w:hAnsi="SimHei" w:eastAsia="SimHei" w:cs="SimHei"/>
          <w:sz w:val="21"/>
          <w:szCs w:val="21"/>
        </w:rPr>
      </w:pPr>
      <w:r>
        <w:rPr>
          <w:rFonts w:ascii="Times New Roman" w:hAnsi="Times New Roman" w:eastAsia="Times New Roman" w:cs="Times New Roman"/>
          <w:sz w:val="21"/>
          <w:szCs w:val="21"/>
          <w:spacing w:val="-1"/>
        </w:rPr>
        <w:t>7.5.3 </w:t>
      </w:r>
      <w:r>
        <w:rPr>
          <w:rFonts w:ascii="SimHei" w:hAnsi="SimHei" w:eastAsia="SimHei" w:cs="SimHei"/>
          <w:sz w:val="21"/>
          <w:szCs w:val="21"/>
          <w:spacing w:val="-1"/>
        </w:rPr>
        <w:t>成文信息的控制</w:t>
      </w:r>
    </w:p>
    <w:p>
      <w:pPr>
        <w:ind w:left="422"/>
        <w:spacing w:before="147" w:line="220" w:lineRule="auto"/>
        <w:rPr>
          <w:rFonts w:ascii="SimSun" w:hAnsi="SimSun" w:eastAsia="SimSun" w:cs="SimSun"/>
          <w:sz w:val="21"/>
          <w:szCs w:val="21"/>
        </w:rPr>
      </w:pPr>
      <w:r>
        <w:rPr>
          <w:rFonts w:ascii="SimSun" w:hAnsi="SimSun" w:eastAsia="SimSun" w:cs="SimSun"/>
          <w:sz w:val="21"/>
          <w:szCs w:val="21"/>
          <w:spacing w:val="-1"/>
        </w:rPr>
        <w:t>组织应控制本文件所要求的成文信息，以确保：</w:t>
      </w:r>
    </w:p>
    <w:p>
      <w:pPr>
        <w:ind w:left="410"/>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在需要的场合和时机可获得并适用；</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得到充分保护（如防止泄密、不当使用或完整性受损）。</w:t>
      </w:r>
    </w:p>
    <w:p>
      <w:pPr>
        <w:ind w:left="422"/>
        <w:spacing w:before="157" w:line="221" w:lineRule="auto"/>
        <w:rPr>
          <w:rFonts w:ascii="SimSun" w:hAnsi="SimSun" w:eastAsia="SimSun" w:cs="SimSun"/>
          <w:sz w:val="21"/>
          <w:szCs w:val="21"/>
        </w:rPr>
      </w:pPr>
      <w:r>
        <w:rPr>
          <w:rFonts w:ascii="SimSun" w:hAnsi="SimSun" w:eastAsia="SimSun" w:cs="SimSun"/>
          <w:sz w:val="21"/>
          <w:szCs w:val="21"/>
          <w:spacing w:val="-1"/>
        </w:rPr>
        <w:t>为控制成文信息，适用时组织应进行下列活动：</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分发、访问、检索和使用；</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存储和防护，包括保持可读性；</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更改控制（如版本控制</w:t>
      </w:r>
      <w:r>
        <w:rPr>
          <w:rFonts w:ascii="SimSun" w:hAnsi="SimSun" w:eastAsia="SimSun" w:cs="SimSun"/>
          <w:sz w:val="21"/>
          <w:szCs w:val="21"/>
          <w:spacing w:val="-9"/>
        </w:rPr>
        <w:t>）；</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保留和处置。</w:t>
      </w:r>
    </w:p>
    <w:p>
      <w:pPr>
        <w:ind w:left="422"/>
        <w:spacing w:before="158" w:line="221" w:lineRule="auto"/>
        <w:rPr>
          <w:rFonts w:ascii="SimSun" w:hAnsi="SimSun" w:eastAsia="SimSun" w:cs="SimSun"/>
          <w:sz w:val="21"/>
          <w:szCs w:val="21"/>
        </w:rPr>
      </w:pPr>
      <w:r>
        <w:rPr>
          <w:rFonts w:ascii="SimSun" w:hAnsi="SimSun" w:eastAsia="SimSun" w:cs="SimSun"/>
          <w:sz w:val="21"/>
          <w:szCs w:val="21"/>
        </w:rPr>
        <w:t>组织应识别和控制所确定的来源于外部的、对风</w:t>
      </w:r>
      <w:r>
        <w:rPr>
          <w:rFonts w:ascii="SimSun" w:hAnsi="SimSun" w:eastAsia="SimSun" w:cs="SimSun"/>
          <w:sz w:val="21"/>
          <w:szCs w:val="21"/>
          <w:spacing w:val="-1"/>
        </w:rPr>
        <w:t>险管理体系策划和运行所必需的成文信息。</w:t>
      </w:r>
    </w:p>
    <w:p>
      <w:pPr>
        <w:pStyle w:val="BodyText"/>
        <w:spacing w:line="348" w:lineRule="auto"/>
        <w:rPr/>
      </w:pPr>
      <w:r/>
    </w:p>
    <w:p>
      <w:pPr>
        <w:ind w:left="5"/>
        <w:spacing w:before="68" w:line="234" w:lineRule="auto"/>
        <w:outlineLvl w:val="0"/>
        <w:rPr>
          <w:rFonts w:ascii="SimHei" w:hAnsi="SimHei" w:eastAsia="SimHei" w:cs="SimHei"/>
          <w:sz w:val="21"/>
          <w:szCs w:val="21"/>
        </w:rPr>
      </w:pPr>
      <w:bookmarkStart w:name="bookmark25" w:id="27"/>
      <w:bookmarkEnd w:id="27"/>
      <w:r>
        <w:rPr>
          <w:rFonts w:ascii="Times New Roman" w:hAnsi="Times New Roman" w:eastAsia="Times New Roman" w:cs="Times New Roman"/>
          <w:sz w:val="21"/>
          <w:szCs w:val="21"/>
          <w:spacing w:val="-6"/>
        </w:rPr>
        <w:t>8</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6"/>
        </w:rPr>
        <w:t>运行</w:t>
      </w:r>
    </w:p>
    <w:p>
      <w:pPr>
        <w:ind w:left="5"/>
        <w:spacing w:before="251" w:line="234" w:lineRule="auto"/>
        <w:outlineLvl w:val="1"/>
        <w:rPr>
          <w:rFonts w:ascii="SimHei" w:hAnsi="SimHei" w:eastAsia="SimHei" w:cs="SimHei"/>
          <w:sz w:val="21"/>
          <w:szCs w:val="21"/>
        </w:rPr>
      </w:pPr>
      <w:bookmarkStart w:name="bookmark26" w:id="28"/>
      <w:bookmarkEnd w:id="28"/>
      <w:r>
        <w:rPr>
          <w:rFonts w:ascii="Times New Roman" w:hAnsi="Times New Roman" w:eastAsia="Times New Roman" w:cs="Times New Roman"/>
          <w:sz w:val="21"/>
          <w:szCs w:val="21"/>
          <w:spacing w:val="-1"/>
        </w:rPr>
        <w:t>8.1 </w:t>
      </w:r>
      <w:r>
        <w:rPr>
          <w:rFonts w:ascii="SimHei" w:hAnsi="SimHei" w:eastAsia="SimHei" w:cs="SimHei"/>
          <w:sz w:val="21"/>
          <w:szCs w:val="21"/>
          <w:spacing w:val="-1"/>
        </w:rPr>
        <w:t>运行的策划和控制</w:t>
      </w:r>
    </w:p>
    <w:p>
      <w:pPr>
        <w:ind w:left="17" w:firstLine="405"/>
        <w:spacing w:before="163" w:line="351" w:lineRule="auto"/>
        <w:rPr>
          <w:rFonts w:ascii="SimSun" w:hAnsi="SimSun" w:eastAsia="SimSun" w:cs="SimSun"/>
          <w:sz w:val="21"/>
          <w:szCs w:val="21"/>
        </w:rPr>
      </w:pPr>
      <w:r>
        <w:rPr>
          <w:rFonts w:ascii="SimSun" w:hAnsi="SimSun" w:eastAsia="SimSun" w:cs="SimSun"/>
          <w:sz w:val="21"/>
          <w:szCs w:val="21"/>
          <w:spacing w:val="1"/>
        </w:rPr>
        <w:t>组织应策划、实施和控制满足风险管理目标所需的过程，并按照 </w:t>
      </w:r>
      <w:r>
        <w:rPr>
          <w:rFonts w:ascii="Times New Roman" w:hAnsi="Times New Roman" w:eastAsia="Times New Roman" w:cs="Times New Roman"/>
          <w:sz w:val="21"/>
          <w:szCs w:val="21"/>
          <w:spacing w:val="1"/>
        </w:rPr>
        <w:t>6.1  </w:t>
      </w:r>
      <w:r>
        <w:rPr>
          <w:rFonts w:ascii="SimSun" w:hAnsi="SimSun" w:eastAsia="SimSun" w:cs="SimSun"/>
          <w:sz w:val="21"/>
          <w:szCs w:val="21"/>
          <w:spacing w:val="1"/>
        </w:rPr>
        <w:t>的规定实施应对风险和机遇</w:t>
      </w:r>
      <w:r>
        <w:rPr>
          <w:rFonts w:ascii="SimSun" w:hAnsi="SimSun" w:eastAsia="SimSun" w:cs="SimSun"/>
          <w:sz w:val="21"/>
          <w:szCs w:val="21"/>
          <w:spacing w:val="-6"/>
        </w:rPr>
        <w:t>的措施。</w:t>
      </w:r>
    </w:p>
    <w:p>
      <w:pPr>
        <w:ind w:left="422"/>
        <w:spacing w:before="20" w:line="220" w:lineRule="auto"/>
        <w:rPr>
          <w:rFonts w:ascii="SimSun" w:hAnsi="SimSun" w:eastAsia="SimSun" w:cs="SimSun"/>
          <w:sz w:val="21"/>
          <w:szCs w:val="21"/>
        </w:rPr>
      </w:pPr>
      <w:r>
        <w:rPr>
          <w:rFonts w:ascii="SimSun" w:hAnsi="SimSun" w:eastAsia="SimSun" w:cs="SimSun"/>
          <w:sz w:val="21"/>
          <w:szCs w:val="21"/>
          <w:spacing w:val="-1"/>
        </w:rPr>
        <w:t>组织应控制计划的变更，评审非预期变更的后果，必要时采取措施减轻不利影响。</w:t>
      </w:r>
    </w:p>
    <w:p>
      <w:pPr>
        <w:ind w:left="422"/>
        <w:spacing w:before="158" w:line="219" w:lineRule="auto"/>
        <w:rPr>
          <w:rFonts w:ascii="SimSun" w:hAnsi="SimSun" w:eastAsia="SimSun" w:cs="SimSun"/>
          <w:sz w:val="21"/>
          <w:szCs w:val="21"/>
        </w:rPr>
      </w:pPr>
      <w:r>
        <w:rPr>
          <w:rFonts w:ascii="SimSun" w:hAnsi="SimSun" w:eastAsia="SimSun" w:cs="SimSun"/>
          <w:sz w:val="21"/>
          <w:szCs w:val="21"/>
          <w:spacing w:val="-1"/>
        </w:rPr>
        <w:t>组织应确保外包的风险管理活动（如委托外部机构实施的风险评估）受控。</w:t>
      </w:r>
    </w:p>
    <w:p>
      <w:pPr>
        <w:pStyle w:val="BodyText"/>
        <w:spacing w:line="251" w:lineRule="auto"/>
        <w:rPr/>
      </w:pPr>
      <w:r/>
    </w:p>
    <w:p>
      <w:pPr>
        <w:ind w:left="5"/>
        <w:spacing w:before="69" w:line="234" w:lineRule="auto"/>
        <w:outlineLvl w:val="1"/>
        <w:rPr>
          <w:rFonts w:ascii="SimHei" w:hAnsi="SimHei" w:eastAsia="SimHei" w:cs="SimHei"/>
          <w:sz w:val="21"/>
          <w:szCs w:val="21"/>
        </w:rPr>
      </w:pPr>
      <w:bookmarkStart w:name="bookmark27" w:id="29"/>
      <w:bookmarkEnd w:id="29"/>
      <w:r>
        <w:rPr>
          <w:rFonts w:ascii="Times New Roman" w:hAnsi="Times New Roman" w:eastAsia="Times New Roman" w:cs="Times New Roman"/>
          <w:sz w:val="21"/>
          <w:szCs w:val="21"/>
          <w:spacing w:val="-2"/>
        </w:rPr>
        <w:t>8.2 </w:t>
      </w:r>
      <w:r>
        <w:rPr>
          <w:rFonts w:ascii="SimHei" w:hAnsi="SimHei" w:eastAsia="SimHei" w:cs="SimHei"/>
          <w:sz w:val="21"/>
          <w:szCs w:val="21"/>
          <w:spacing w:val="-2"/>
        </w:rPr>
        <w:t>风险评估</w:t>
      </w:r>
    </w:p>
    <w:p>
      <w:pPr>
        <w:ind w:right="8" w:firstLine="422"/>
        <w:spacing w:before="167" w:line="361" w:lineRule="auto"/>
        <w:rPr>
          <w:rFonts w:ascii="SimSun" w:hAnsi="SimSun" w:eastAsia="SimSun" w:cs="SimSun"/>
          <w:sz w:val="21"/>
          <w:szCs w:val="21"/>
        </w:rPr>
      </w:pPr>
      <w:r>
        <w:rPr>
          <w:rFonts w:ascii="SimSun" w:hAnsi="SimSun" w:eastAsia="SimSun" w:cs="SimSun"/>
          <w:sz w:val="21"/>
          <w:szCs w:val="21"/>
          <w:spacing w:val="2"/>
        </w:rPr>
        <w:t>组织应对其范围内的活动和目标开展风险评估。风险评估包括风险识别、风险分析和风险评价的</w:t>
      </w:r>
      <w:r>
        <w:rPr>
          <w:rFonts w:ascii="SimSun" w:hAnsi="SimSun" w:eastAsia="SimSun" w:cs="SimSun"/>
          <w:sz w:val="21"/>
          <w:szCs w:val="21"/>
          <w:spacing w:val="-2"/>
        </w:rPr>
        <w:t>全过程。</w:t>
      </w:r>
    </w:p>
    <w:p>
      <w:pPr>
        <w:spacing w:line="361" w:lineRule="auto"/>
        <w:sectPr>
          <w:footerReference w:type="default" r:id="rId18"/>
          <w:pgSz w:w="11907" w:h="16839"/>
          <w:pgMar w:top="1028" w:right="1134" w:bottom="880" w:left="1424" w:header="703" w:footer="680" w:gutter="0"/>
        </w:sectPr>
        <w:rPr>
          <w:rFonts w:ascii="SimSun" w:hAnsi="SimSun" w:eastAsia="SimSun" w:cs="SimSun"/>
          <w:sz w:val="21"/>
          <w:szCs w:val="21"/>
        </w:rPr>
      </w:pPr>
    </w:p>
    <w:p>
      <w:pPr>
        <w:ind w:left="3"/>
        <w:spacing w:before="135" w:line="234" w:lineRule="auto"/>
        <w:rPr>
          <w:rFonts w:ascii="SimHei" w:hAnsi="SimHei" w:eastAsia="SimHei" w:cs="SimHei"/>
          <w:sz w:val="21"/>
          <w:szCs w:val="21"/>
        </w:rPr>
      </w:pPr>
      <w:r>
        <w:rPr>
          <w:rFonts w:ascii="Times New Roman" w:hAnsi="Times New Roman" w:eastAsia="Times New Roman" w:cs="Times New Roman"/>
          <w:sz w:val="21"/>
          <w:szCs w:val="21"/>
          <w:spacing w:val="-2"/>
        </w:rPr>
        <w:t>8.2.1 </w:t>
      </w:r>
      <w:r>
        <w:rPr>
          <w:rFonts w:ascii="SimHei" w:hAnsi="SimHei" w:eastAsia="SimHei" w:cs="SimHei"/>
          <w:sz w:val="21"/>
          <w:szCs w:val="21"/>
          <w:spacing w:val="-2"/>
        </w:rPr>
        <w:t>风险识别</w:t>
      </w:r>
    </w:p>
    <w:p>
      <w:pPr>
        <w:ind w:right="10" w:firstLine="421"/>
        <w:spacing w:before="146" w:line="359" w:lineRule="auto"/>
        <w:rPr>
          <w:rFonts w:ascii="SimSun" w:hAnsi="SimSun" w:eastAsia="SimSun" w:cs="SimSun"/>
          <w:sz w:val="21"/>
          <w:szCs w:val="21"/>
        </w:rPr>
      </w:pPr>
      <w:r>
        <w:rPr>
          <w:rFonts w:ascii="SimSun" w:hAnsi="SimSun" w:eastAsia="SimSun" w:cs="SimSun"/>
          <w:sz w:val="21"/>
          <w:szCs w:val="21"/>
          <w:spacing w:val="2"/>
        </w:rPr>
        <w:t>组织应识别可能影响其目标实现的风险，并生成一个基于风险源、事件、原因和潜在后果的全面</w:t>
      </w:r>
      <w:r>
        <w:rPr>
          <w:rFonts w:ascii="SimSun" w:hAnsi="SimSun" w:eastAsia="SimSun" w:cs="SimSun"/>
          <w:sz w:val="21"/>
          <w:szCs w:val="21"/>
          <w:spacing w:val="-5"/>
        </w:rPr>
        <w:t>风险清单。</w:t>
      </w:r>
    </w:p>
    <w:p>
      <w:pPr>
        <w:ind w:left="420"/>
        <w:spacing w:line="221" w:lineRule="auto"/>
        <w:rPr>
          <w:rFonts w:ascii="SimSun" w:hAnsi="SimSun" w:eastAsia="SimSun" w:cs="SimSun"/>
          <w:sz w:val="21"/>
          <w:szCs w:val="21"/>
        </w:rPr>
      </w:pPr>
      <w:r>
        <w:rPr>
          <w:rFonts w:ascii="SimSun" w:hAnsi="SimSun" w:eastAsia="SimSun" w:cs="SimSun"/>
          <w:sz w:val="21"/>
          <w:szCs w:val="21"/>
          <w:spacing w:val="-1"/>
        </w:rPr>
        <w:t>风险识别应：</w:t>
      </w:r>
    </w:p>
    <w:p>
      <w:pPr>
        <w:ind w:left="409"/>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覆盖组织内外部环境中的各类风险源，包括战略、</w:t>
      </w:r>
      <w:r>
        <w:rPr>
          <w:rFonts w:ascii="SimSun" w:hAnsi="SimSun" w:eastAsia="SimSun" w:cs="SimSun"/>
          <w:sz w:val="21"/>
          <w:szCs w:val="21"/>
          <w:spacing w:val="-1"/>
        </w:rPr>
        <w:t>财务、运营、合规、声誉等方面的风险；</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考虑正面影响（机会）和负面影响（威胁</w:t>
      </w:r>
      <w:r>
        <w:rPr>
          <w:rFonts w:ascii="SimSun" w:hAnsi="SimSun" w:eastAsia="SimSun" w:cs="SimSun"/>
          <w:sz w:val="21"/>
          <w:szCs w:val="21"/>
          <w:spacing w:val="-11"/>
        </w:rPr>
        <w:t>）；</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关注风险源与后果之间的因果关系；</w:t>
      </w:r>
    </w:p>
    <w:p>
      <w:pPr>
        <w:ind w:left="418" w:right="59" w:hanging="9"/>
        <w:spacing w:before="156"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采用适宜的方法（如头脑风暴、访谈、问卷调查、德尔菲法、情景分析、流程图分析、检查</w:t>
      </w:r>
      <w:r>
        <w:rPr>
          <w:rFonts w:ascii="SimSun" w:hAnsi="SimSun" w:eastAsia="SimSun" w:cs="SimSun"/>
          <w:sz w:val="21"/>
          <w:szCs w:val="21"/>
          <w:spacing w:val="-2"/>
        </w:rPr>
        <w:t>表等</w:t>
      </w:r>
      <w:r>
        <w:rPr>
          <w:rFonts w:ascii="SimSun" w:hAnsi="SimSun" w:eastAsia="SimSun" w:cs="SimSun"/>
          <w:sz w:val="21"/>
          <w:szCs w:val="21"/>
          <w:spacing w:val="-1"/>
        </w:rPr>
        <w:t>）；</w:t>
      </w:r>
    </w:p>
    <w:p>
      <w:pPr>
        <w:ind w:left="409"/>
        <w:spacing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确保相关方的适当参与。</w:t>
      </w:r>
    </w:p>
    <w:p>
      <w:pPr>
        <w:ind w:left="421"/>
        <w:spacing w:before="156" w:line="221" w:lineRule="auto"/>
        <w:rPr>
          <w:rFonts w:ascii="SimSun" w:hAnsi="SimSun" w:eastAsia="SimSun" w:cs="SimSun"/>
          <w:sz w:val="21"/>
          <w:szCs w:val="21"/>
        </w:rPr>
      </w:pPr>
      <w:r>
        <w:rPr>
          <w:rFonts w:ascii="SimSun" w:hAnsi="SimSun" w:eastAsia="SimSun" w:cs="SimSun"/>
          <w:sz w:val="21"/>
          <w:szCs w:val="21"/>
          <w:spacing w:val="-1"/>
        </w:rPr>
        <w:t>组织应保持风险识别结果的成文信息。</w:t>
      </w:r>
    </w:p>
    <w:p>
      <w:pPr>
        <w:ind w:left="3"/>
        <w:spacing w:before="279" w:line="234" w:lineRule="auto"/>
        <w:rPr>
          <w:rFonts w:ascii="SimHei" w:hAnsi="SimHei" w:eastAsia="SimHei" w:cs="SimHei"/>
          <w:sz w:val="21"/>
          <w:szCs w:val="21"/>
        </w:rPr>
      </w:pPr>
      <w:r>
        <w:rPr>
          <w:rFonts w:ascii="Times New Roman" w:hAnsi="Times New Roman" w:eastAsia="Times New Roman" w:cs="Times New Roman"/>
          <w:sz w:val="21"/>
          <w:szCs w:val="21"/>
          <w:spacing w:val="-2"/>
        </w:rPr>
        <w:t>8.2.2 </w:t>
      </w:r>
      <w:r>
        <w:rPr>
          <w:rFonts w:ascii="SimHei" w:hAnsi="SimHei" w:eastAsia="SimHei" w:cs="SimHei"/>
          <w:sz w:val="21"/>
          <w:szCs w:val="21"/>
          <w:spacing w:val="-2"/>
        </w:rPr>
        <w:t>风险分析</w:t>
      </w:r>
    </w:p>
    <w:p>
      <w:pPr>
        <w:ind w:left="421"/>
        <w:spacing w:before="147" w:line="219" w:lineRule="auto"/>
        <w:rPr>
          <w:rFonts w:ascii="SimSun" w:hAnsi="SimSun" w:eastAsia="SimSun" w:cs="SimSun"/>
          <w:sz w:val="21"/>
          <w:szCs w:val="21"/>
        </w:rPr>
      </w:pPr>
      <w:r>
        <w:rPr>
          <w:rFonts w:ascii="SimSun" w:hAnsi="SimSun" w:eastAsia="SimSun" w:cs="SimSun"/>
          <w:sz w:val="21"/>
          <w:szCs w:val="21"/>
          <w:spacing w:val="-1"/>
        </w:rPr>
        <w:t>组织应理解风险的特性和确定风险等级，为风险评价和风险应对决策提供输入。</w:t>
      </w:r>
    </w:p>
    <w:p>
      <w:pPr>
        <w:ind w:left="420"/>
        <w:spacing w:before="159" w:line="221" w:lineRule="auto"/>
        <w:rPr>
          <w:rFonts w:ascii="SimSun" w:hAnsi="SimSun" w:eastAsia="SimSun" w:cs="SimSun"/>
          <w:sz w:val="21"/>
          <w:szCs w:val="21"/>
        </w:rPr>
      </w:pPr>
      <w:r>
        <w:rPr>
          <w:rFonts w:ascii="SimSun" w:hAnsi="SimSun" w:eastAsia="SimSun" w:cs="SimSun"/>
          <w:sz w:val="21"/>
          <w:szCs w:val="21"/>
          <w:spacing w:val="-1"/>
        </w:rPr>
        <w:t>风险分析应：</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分析风险发生的可能性和后果，并考虑现有控制措施的有效性；</w:t>
      </w:r>
    </w:p>
    <w:p>
      <w:pPr>
        <w:ind w:left="420" w:right="118" w:hanging="11"/>
        <w:spacing w:before="157"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采用定性、半定量或定量的方法，如风险矩阵、失效模式与影响分析（</w:t>
      </w:r>
      <w:r>
        <w:rPr>
          <w:rFonts w:ascii="Times New Roman" w:hAnsi="Times New Roman" w:eastAsia="Times New Roman" w:cs="Times New Roman"/>
          <w:sz w:val="21"/>
          <w:szCs w:val="21"/>
        </w:rPr>
        <w:t>FMEA</w:t>
      </w:r>
      <w:r>
        <w:rPr>
          <w:rFonts w:ascii="SimSun" w:hAnsi="SimSun" w:eastAsia="SimSun" w:cs="SimSun"/>
          <w:sz w:val="21"/>
          <w:szCs w:val="21"/>
          <w:spacing w:val="-1"/>
        </w:rPr>
        <w:t>）、故障树分</w:t>
      </w:r>
      <w:r>
        <w:rPr>
          <w:rFonts w:ascii="SimSun" w:hAnsi="SimSun" w:eastAsia="SimSun" w:cs="SimSun"/>
          <w:sz w:val="21"/>
          <w:szCs w:val="21"/>
          <w:spacing w:val="-1"/>
        </w:rPr>
        <w:t>析、蒙特卡罗模拟等；</w:t>
      </w:r>
    </w:p>
    <w:p>
      <w:pPr>
        <w:ind w:left="409"/>
        <w:spacing w:before="1"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考虑分析的详细程度、不确定性和信息的局限性。</w:t>
      </w:r>
    </w:p>
    <w:p>
      <w:pPr>
        <w:ind w:left="421"/>
        <w:spacing w:before="158" w:line="221" w:lineRule="auto"/>
        <w:rPr>
          <w:rFonts w:ascii="SimSun" w:hAnsi="SimSun" w:eastAsia="SimSun" w:cs="SimSun"/>
          <w:sz w:val="21"/>
          <w:szCs w:val="21"/>
        </w:rPr>
      </w:pPr>
      <w:r>
        <w:rPr>
          <w:rFonts w:ascii="SimSun" w:hAnsi="SimSun" w:eastAsia="SimSun" w:cs="SimSun"/>
          <w:sz w:val="21"/>
          <w:szCs w:val="21"/>
          <w:spacing w:val="-1"/>
        </w:rPr>
        <w:t>组织应保持风险分析结果的成文信息。</w:t>
      </w:r>
    </w:p>
    <w:p>
      <w:pPr>
        <w:ind w:left="3"/>
        <w:spacing w:before="279" w:line="234" w:lineRule="auto"/>
        <w:rPr>
          <w:rFonts w:ascii="SimHei" w:hAnsi="SimHei" w:eastAsia="SimHei" w:cs="SimHei"/>
          <w:sz w:val="21"/>
          <w:szCs w:val="21"/>
        </w:rPr>
      </w:pPr>
      <w:r>
        <w:rPr>
          <w:rFonts w:ascii="Times New Roman" w:hAnsi="Times New Roman" w:eastAsia="Times New Roman" w:cs="Times New Roman"/>
          <w:sz w:val="21"/>
          <w:szCs w:val="21"/>
          <w:spacing w:val="-2"/>
        </w:rPr>
        <w:t>8.2.3 </w:t>
      </w:r>
      <w:r>
        <w:rPr>
          <w:rFonts w:ascii="SimHei" w:hAnsi="SimHei" w:eastAsia="SimHei" w:cs="SimHei"/>
          <w:sz w:val="21"/>
          <w:szCs w:val="21"/>
          <w:spacing w:val="-2"/>
        </w:rPr>
        <w:t>风险评价</w:t>
      </w:r>
    </w:p>
    <w:p>
      <w:pPr>
        <w:ind w:left="421"/>
        <w:spacing w:before="146" w:line="221" w:lineRule="auto"/>
        <w:rPr>
          <w:rFonts w:ascii="SimSun" w:hAnsi="SimSun" w:eastAsia="SimSun" w:cs="SimSun"/>
          <w:sz w:val="21"/>
          <w:szCs w:val="21"/>
        </w:rPr>
      </w:pPr>
      <w:r>
        <w:rPr>
          <w:rFonts w:ascii="SimSun" w:hAnsi="SimSun" w:eastAsia="SimSun" w:cs="SimSun"/>
          <w:sz w:val="21"/>
          <w:szCs w:val="21"/>
        </w:rPr>
        <w:t>组织应将风险分析的结果与风险准则进行比较，以确</w:t>
      </w:r>
      <w:r>
        <w:rPr>
          <w:rFonts w:ascii="SimSun" w:hAnsi="SimSun" w:eastAsia="SimSun" w:cs="SimSun"/>
          <w:sz w:val="21"/>
          <w:szCs w:val="21"/>
          <w:spacing w:val="-1"/>
        </w:rPr>
        <w:t>定风险是否需要应对以及应对的优先次序。</w:t>
      </w:r>
    </w:p>
    <w:p>
      <w:pPr>
        <w:ind w:left="420"/>
        <w:spacing w:before="158" w:line="219" w:lineRule="auto"/>
        <w:rPr>
          <w:rFonts w:ascii="SimSun" w:hAnsi="SimSun" w:eastAsia="SimSun" w:cs="SimSun"/>
          <w:sz w:val="21"/>
          <w:szCs w:val="21"/>
        </w:rPr>
      </w:pPr>
      <w:r>
        <w:rPr>
          <w:rFonts w:ascii="SimSun" w:hAnsi="SimSun" w:eastAsia="SimSun" w:cs="SimSun"/>
          <w:sz w:val="21"/>
          <w:szCs w:val="21"/>
          <w:spacing w:val="-1"/>
        </w:rPr>
        <w:t>风险评价的结果应支持以下决策：</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接受风险（在现有控制下，风险已降至可接受水平</w:t>
      </w:r>
      <w:r>
        <w:rPr>
          <w:rFonts w:ascii="SimSun" w:hAnsi="SimSun" w:eastAsia="SimSun" w:cs="SimSun"/>
          <w:sz w:val="21"/>
          <w:szCs w:val="21"/>
          <w:spacing w:val="2"/>
        </w:rPr>
        <w:t>）；</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寻求进一步处理（风险当前不可接受，需要采取应对措施</w:t>
      </w:r>
      <w:r>
        <w:rPr>
          <w:rFonts w:ascii="SimSun" w:hAnsi="SimSun" w:eastAsia="SimSun" w:cs="SimSun"/>
          <w:sz w:val="21"/>
          <w:szCs w:val="21"/>
          <w:spacing w:val="-10"/>
        </w:rPr>
        <w:t>）；</w:t>
      </w:r>
    </w:p>
    <w:p>
      <w:pPr>
        <w:ind w:left="409"/>
        <w:spacing w:before="16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避免风险（停止可能导致风险的活动</w:t>
      </w:r>
      <w:r>
        <w:rPr>
          <w:rFonts w:ascii="SimSun" w:hAnsi="SimSun" w:eastAsia="SimSun" w:cs="SimSun"/>
          <w:sz w:val="21"/>
          <w:szCs w:val="21"/>
          <w:spacing w:val="-11"/>
        </w:rPr>
        <w:t>）；</w:t>
      </w:r>
    </w:p>
    <w:p>
      <w:pPr>
        <w:ind w:left="409"/>
        <w:spacing w:before="156"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重新考虑目标（风险与收益不匹配）。</w:t>
      </w:r>
    </w:p>
    <w:p>
      <w:pPr>
        <w:ind w:left="421"/>
        <w:spacing w:before="158" w:line="219" w:lineRule="auto"/>
        <w:rPr>
          <w:rFonts w:ascii="SimSun" w:hAnsi="SimSun" w:eastAsia="SimSun" w:cs="SimSun"/>
          <w:sz w:val="21"/>
          <w:szCs w:val="21"/>
        </w:rPr>
      </w:pPr>
      <w:r>
        <w:rPr>
          <w:rFonts w:ascii="SimSun" w:hAnsi="SimSun" w:eastAsia="SimSun" w:cs="SimSun"/>
          <w:sz w:val="21"/>
          <w:szCs w:val="21"/>
          <w:spacing w:val="-1"/>
        </w:rPr>
        <w:t>组织应保持风险评价结果和优先处理清单的成文信息。</w:t>
      </w:r>
    </w:p>
    <w:p>
      <w:pPr>
        <w:pStyle w:val="BodyText"/>
        <w:spacing w:line="251" w:lineRule="auto"/>
        <w:rPr/>
      </w:pPr>
      <w:r/>
    </w:p>
    <w:p>
      <w:pPr>
        <w:ind w:left="3"/>
        <w:spacing w:before="69" w:line="234" w:lineRule="auto"/>
        <w:outlineLvl w:val="1"/>
        <w:rPr>
          <w:rFonts w:ascii="SimHei" w:hAnsi="SimHei" w:eastAsia="SimHei" w:cs="SimHei"/>
          <w:sz w:val="21"/>
          <w:szCs w:val="21"/>
        </w:rPr>
      </w:pPr>
      <w:bookmarkStart w:name="bookmark28" w:id="30"/>
      <w:bookmarkEnd w:id="30"/>
      <w:r>
        <w:rPr>
          <w:rFonts w:ascii="Times New Roman" w:hAnsi="Times New Roman" w:eastAsia="Times New Roman" w:cs="Times New Roman"/>
          <w:sz w:val="21"/>
          <w:szCs w:val="21"/>
          <w:spacing w:val="-2"/>
        </w:rPr>
        <w:t>8.3 </w:t>
      </w:r>
      <w:r>
        <w:rPr>
          <w:rFonts w:ascii="SimHei" w:hAnsi="SimHei" w:eastAsia="SimHei" w:cs="SimHei"/>
          <w:sz w:val="21"/>
          <w:szCs w:val="21"/>
          <w:spacing w:val="-2"/>
        </w:rPr>
        <w:t>风险应对</w:t>
      </w:r>
    </w:p>
    <w:p>
      <w:pPr>
        <w:ind w:left="3"/>
        <w:spacing w:before="207" w:line="233" w:lineRule="auto"/>
        <w:rPr>
          <w:rFonts w:ascii="SimHei" w:hAnsi="SimHei" w:eastAsia="SimHei" w:cs="SimHei"/>
          <w:sz w:val="21"/>
          <w:szCs w:val="21"/>
        </w:rPr>
      </w:pPr>
      <w:r>
        <w:rPr>
          <w:rFonts w:ascii="Times New Roman" w:hAnsi="Times New Roman" w:eastAsia="Times New Roman" w:cs="Times New Roman"/>
          <w:sz w:val="21"/>
          <w:szCs w:val="21"/>
          <w:spacing w:val="-1"/>
        </w:rPr>
        <w:t>8.3.1 </w:t>
      </w:r>
      <w:r>
        <w:rPr>
          <w:rFonts w:ascii="SimHei" w:hAnsi="SimHei" w:eastAsia="SimHei" w:cs="SimHei"/>
          <w:sz w:val="21"/>
          <w:szCs w:val="21"/>
          <w:spacing w:val="-1"/>
        </w:rPr>
        <w:t>应对方案的选择</w:t>
      </w:r>
    </w:p>
    <w:p>
      <w:pPr>
        <w:ind w:right="41" w:firstLine="421"/>
        <w:spacing w:before="147" w:line="359" w:lineRule="auto"/>
        <w:rPr>
          <w:rFonts w:ascii="SimSun" w:hAnsi="SimSun" w:eastAsia="SimSun" w:cs="SimSun"/>
          <w:sz w:val="21"/>
          <w:szCs w:val="21"/>
        </w:rPr>
      </w:pPr>
      <w:r>
        <w:rPr>
          <w:rFonts w:ascii="SimSun" w:hAnsi="SimSun" w:eastAsia="SimSun" w:cs="SimSun"/>
          <w:sz w:val="21"/>
          <w:szCs w:val="21"/>
          <w:spacing w:val="2"/>
        </w:rPr>
        <w:t>组织应根据风险评价的结果选择风险应对方案，将</w:t>
      </w:r>
      <w:r>
        <w:rPr>
          <w:rFonts w:ascii="SimSun" w:hAnsi="SimSun" w:eastAsia="SimSun" w:cs="SimSun"/>
          <w:sz w:val="21"/>
          <w:szCs w:val="21"/>
          <w:spacing w:val="1"/>
        </w:rPr>
        <w:t>风险控制在组织的风险准则可接受的范围内。</w:t>
      </w:r>
      <w:r>
        <w:rPr>
          <w:rFonts w:ascii="SimSun" w:hAnsi="SimSun" w:eastAsia="SimSun" w:cs="SimSun"/>
          <w:sz w:val="21"/>
          <w:szCs w:val="21"/>
          <w:spacing w:val="-1"/>
        </w:rPr>
        <w:t>风险应对方案可包括：</w:t>
      </w:r>
    </w:p>
    <w:p>
      <w:pPr>
        <w:ind w:left="409"/>
        <w:spacing w:before="1"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规避风险：决定不开始或停止可能导致风险的</w:t>
      </w:r>
      <w:r>
        <w:rPr>
          <w:rFonts w:ascii="SimSun" w:hAnsi="SimSun" w:eastAsia="SimSun" w:cs="SimSun"/>
          <w:sz w:val="21"/>
          <w:szCs w:val="21"/>
          <w:spacing w:val="-2"/>
        </w:rPr>
        <w:t>活动；</w:t>
      </w:r>
    </w:p>
    <w:p>
      <w:pPr>
        <w:ind w:left="409"/>
        <w:spacing w:before="160"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承担或增加风险：主动抓住机会或为寻求收益而承担风险；</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消除风险源：消除产生风险的根源；</w:t>
      </w:r>
    </w:p>
    <w:p>
      <w:pPr>
        <w:spacing w:line="221" w:lineRule="auto"/>
        <w:sectPr>
          <w:headerReference w:type="default" r:id="rId19"/>
          <w:footerReference w:type="default" r:id="rId20"/>
          <w:pgSz w:w="11907" w:h="16839"/>
          <w:pgMar w:top="1028" w:right="1132" w:bottom="880" w:left="1425" w:header="703" w:footer="680" w:gutter="0"/>
        </w:sectPr>
        <w:rPr>
          <w:rFonts w:ascii="SimSun" w:hAnsi="SimSun" w:eastAsia="SimSun" w:cs="SimSun"/>
          <w:sz w:val="21"/>
          <w:szCs w:val="21"/>
        </w:rPr>
      </w:pPr>
    </w:p>
    <w:p>
      <w:pPr>
        <w:ind w:left="410"/>
        <w:spacing w:before="133"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改变可能性：改变风险发生的可能性；</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改变后果：改变风险事件发生后的后果；</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分担风险：通过合同、保险、合作等方式与其他方共担风险；</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保留风险：基于知情决策接受剩余风险。</w:t>
      </w:r>
    </w:p>
    <w:p>
      <w:pPr>
        <w:ind w:left="4"/>
        <w:spacing w:before="279" w:line="234" w:lineRule="auto"/>
        <w:rPr>
          <w:rFonts w:ascii="SimHei" w:hAnsi="SimHei" w:eastAsia="SimHei" w:cs="SimHei"/>
          <w:sz w:val="21"/>
          <w:szCs w:val="21"/>
        </w:rPr>
      </w:pPr>
      <w:r>
        <w:rPr>
          <w:rFonts w:ascii="Times New Roman" w:hAnsi="Times New Roman" w:eastAsia="Times New Roman" w:cs="Times New Roman"/>
          <w:sz w:val="21"/>
          <w:szCs w:val="21"/>
          <w:spacing w:val="-1"/>
        </w:rPr>
        <w:t>8.3.2 </w:t>
      </w:r>
      <w:r>
        <w:rPr>
          <w:rFonts w:ascii="SimHei" w:hAnsi="SimHei" w:eastAsia="SimHei" w:cs="SimHei"/>
          <w:sz w:val="21"/>
          <w:szCs w:val="21"/>
          <w:spacing w:val="-1"/>
        </w:rPr>
        <w:t>应对计划的制定与实施</w:t>
      </w:r>
    </w:p>
    <w:p>
      <w:pPr>
        <w:ind w:right="179" w:firstLine="422"/>
        <w:spacing w:before="146" w:line="359" w:lineRule="auto"/>
        <w:rPr>
          <w:rFonts w:ascii="SimSun" w:hAnsi="SimSun" w:eastAsia="SimSun" w:cs="SimSun"/>
          <w:sz w:val="21"/>
          <w:szCs w:val="21"/>
        </w:rPr>
      </w:pPr>
      <w:r>
        <w:rPr>
          <w:rFonts w:ascii="SimSun" w:hAnsi="SimSun" w:eastAsia="SimSun" w:cs="SimSun"/>
          <w:sz w:val="21"/>
          <w:szCs w:val="21"/>
          <w:spacing w:val="2"/>
        </w:rPr>
        <w:t>组织应评估备选应对方案的成本、收益、可行性和有效性，选择并规划最优方案，制定风险应对</w:t>
      </w:r>
      <w:r>
        <w:rPr>
          <w:rFonts w:ascii="SimSun" w:hAnsi="SimSun" w:eastAsia="SimSun" w:cs="SimSun"/>
          <w:sz w:val="21"/>
          <w:szCs w:val="21"/>
          <w:spacing w:val="-8"/>
        </w:rPr>
        <w:t>计划。</w:t>
      </w:r>
    </w:p>
    <w:p>
      <w:pPr>
        <w:ind w:left="420"/>
        <w:spacing w:before="1" w:line="219" w:lineRule="auto"/>
        <w:rPr>
          <w:rFonts w:ascii="SimSun" w:hAnsi="SimSun" w:eastAsia="SimSun" w:cs="SimSun"/>
          <w:sz w:val="21"/>
          <w:szCs w:val="21"/>
        </w:rPr>
      </w:pPr>
      <w:r>
        <w:rPr>
          <w:rFonts w:ascii="SimSun" w:hAnsi="SimSun" w:eastAsia="SimSun" w:cs="SimSun"/>
          <w:sz w:val="21"/>
          <w:szCs w:val="21"/>
        </w:rPr>
        <w:t>风险应对计划应明确所采取的措施、责任、时间表和所</w:t>
      </w:r>
      <w:r>
        <w:rPr>
          <w:rFonts w:ascii="SimSun" w:hAnsi="SimSun" w:eastAsia="SimSun" w:cs="SimSun"/>
          <w:sz w:val="21"/>
          <w:szCs w:val="21"/>
          <w:spacing w:val="-1"/>
        </w:rPr>
        <w:t>需资源。</w:t>
      </w:r>
    </w:p>
    <w:p>
      <w:pPr>
        <w:ind w:left="422"/>
        <w:spacing w:before="160" w:line="219" w:lineRule="auto"/>
        <w:rPr>
          <w:rFonts w:ascii="SimSun" w:hAnsi="SimSun" w:eastAsia="SimSun" w:cs="SimSun"/>
          <w:sz w:val="21"/>
          <w:szCs w:val="21"/>
        </w:rPr>
      </w:pPr>
      <w:r>
        <w:rPr>
          <w:rFonts w:ascii="SimSun" w:hAnsi="SimSun" w:eastAsia="SimSun" w:cs="SimSun"/>
          <w:sz w:val="21"/>
          <w:szCs w:val="21"/>
        </w:rPr>
        <w:t>组织应实施风险应对计划，评估所采取措施</w:t>
      </w:r>
      <w:r>
        <w:rPr>
          <w:rFonts w:ascii="SimSun" w:hAnsi="SimSun" w:eastAsia="SimSun" w:cs="SimSun"/>
          <w:sz w:val="21"/>
          <w:szCs w:val="21"/>
          <w:spacing w:val="-1"/>
        </w:rPr>
        <w:t>的有效性，确保剩余风险达到可接受水平。</w:t>
      </w:r>
    </w:p>
    <w:p>
      <w:pPr>
        <w:ind w:left="422"/>
        <w:spacing w:before="159" w:line="221" w:lineRule="auto"/>
        <w:rPr>
          <w:rFonts w:ascii="SimSun" w:hAnsi="SimSun" w:eastAsia="SimSun" w:cs="SimSun"/>
          <w:sz w:val="21"/>
          <w:szCs w:val="21"/>
        </w:rPr>
      </w:pPr>
      <w:r>
        <w:rPr>
          <w:rFonts w:ascii="SimSun" w:hAnsi="SimSun" w:eastAsia="SimSun" w:cs="SimSun"/>
          <w:sz w:val="21"/>
          <w:szCs w:val="21"/>
          <w:spacing w:val="-1"/>
        </w:rPr>
        <w:t>组织应保持风险应对计划和实施结果的成文信息。</w:t>
      </w:r>
    </w:p>
    <w:p>
      <w:pPr>
        <w:pStyle w:val="BodyText"/>
        <w:spacing w:line="250" w:lineRule="auto"/>
        <w:rPr/>
      </w:pPr>
      <w:r/>
    </w:p>
    <w:p>
      <w:pPr>
        <w:ind w:left="4"/>
        <w:spacing w:before="69" w:line="234" w:lineRule="auto"/>
        <w:outlineLvl w:val="1"/>
        <w:rPr>
          <w:rFonts w:ascii="SimHei" w:hAnsi="SimHei" w:eastAsia="SimHei" w:cs="SimHei"/>
          <w:sz w:val="21"/>
          <w:szCs w:val="21"/>
        </w:rPr>
      </w:pPr>
      <w:bookmarkStart w:name="bookmark29" w:id="31"/>
      <w:bookmarkEnd w:id="31"/>
      <w:r>
        <w:rPr>
          <w:rFonts w:ascii="Times New Roman" w:hAnsi="Times New Roman" w:eastAsia="Times New Roman" w:cs="Times New Roman"/>
          <w:sz w:val="21"/>
          <w:szCs w:val="21"/>
          <w:spacing w:val="-2"/>
        </w:rPr>
        <w:t>8.4 </w:t>
      </w:r>
      <w:r>
        <w:rPr>
          <w:rFonts w:ascii="SimHei" w:hAnsi="SimHei" w:eastAsia="SimHei" w:cs="SimHei"/>
          <w:sz w:val="21"/>
          <w:szCs w:val="21"/>
          <w:spacing w:val="-2"/>
        </w:rPr>
        <w:t>监视和评审</w:t>
      </w:r>
    </w:p>
    <w:p>
      <w:pPr>
        <w:ind w:left="422"/>
        <w:spacing w:before="163" w:line="221" w:lineRule="auto"/>
        <w:rPr>
          <w:rFonts w:ascii="SimSun" w:hAnsi="SimSun" w:eastAsia="SimSun" w:cs="SimSun"/>
          <w:sz w:val="21"/>
          <w:szCs w:val="21"/>
        </w:rPr>
      </w:pPr>
      <w:r>
        <w:rPr>
          <w:rFonts w:ascii="SimSun" w:hAnsi="SimSun" w:eastAsia="SimSun" w:cs="SimSun"/>
          <w:sz w:val="21"/>
          <w:szCs w:val="21"/>
        </w:rPr>
        <w:t>组织应持续监视和定期评审风险管理过程及其结果，</w:t>
      </w:r>
      <w:r>
        <w:rPr>
          <w:rFonts w:ascii="SimSun" w:hAnsi="SimSun" w:eastAsia="SimSun" w:cs="SimSun"/>
          <w:sz w:val="21"/>
          <w:szCs w:val="21"/>
          <w:spacing w:val="-1"/>
        </w:rPr>
        <w:t>以确保风险管理保持有效并支持组织目标。</w:t>
      </w:r>
    </w:p>
    <w:p>
      <w:pPr>
        <w:ind w:left="420"/>
        <w:spacing w:before="160" w:line="221" w:lineRule="auto"/>
        <w:rPr>
          <w:rFonts w:ascii="SimSun" w:hAnsi="SimSun" w:eastAsia="SimSun" w:cs="SimSun"/>
          <w:sz w:val="21"/>
          <w:szCs w:val="21"/>
        </w:rPr>
      </w:pPr>
      <w:r>
        <w:rPr>
          <w:rFonts w:ascii="SimSun" w:hAnsi="SimSun" w:eastAsia="SimSun" w:cs="SimSun"/>
          <w:sz w:val="21"/>
          <w:szCs w:val="21"/>
          <w:spacing w:val="-3"/>
        </w:rPr>
        <w:t>监视和评审应至少包括：</w:t>
      </w:r>
    </w:p>
    <w:p>
      <w:pPr>
        <w:ind w:left="410"/>
        <w:spacing w:before="156"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风险本身及其环境的变化；</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风险应对措施的实施进度和效果；</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剩余风险水平是否处于可接受范围；</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风险管理过程的有效性；</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风险准则是否仍然适宜；</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新的或变化中的风险。</w:t>
      </w:r>
    </w:p>
    <w:p>
      <w:pPr>
        <w:ind w:left="2" w:firstLine="418"/>
        <w:spacing w:before="156" w:line="361" w:lineRule="auto"/>
        <w:rPr>
          <w:rFonts w:ascii="SimSun" w:hAnsi="SimSun" w:eastAsia="SimSun" w:cs="SimSun"/>
          <w:sz w:val="21"/>
          <w:szCs w:val="21"/>
        </w:rPr>
      </w:pPr>
      <w:r>
        <w:rPr>
          <w:rFonts w:ascii="SimSun" w:hAnsi="SimSun" w:eastAsia="SimSun" w:cs="SimSun"/>
          <w:sz w:val="21"/>
          <w:szCs w:val="21"/>
          <w:spacing w:val="2"/>
        </w:rPr>
        <w:t>监视和评审可结合日常管理活动（如例会、报告）、定</w:t>
      </w:r>
      <w:r>
        <w:rPr>
          <w:rFonts w:ascii="SimSun" w:hAnsi="SimSun" w:eastAsia="SimSun" w:cs="SimSun"/>
          <w:sz w:val="21"/>
          <w:szCs w:val="21"/>
          <w:spacing w:val="1"/>
        </w:rPr>
        <w:t>期审计、专项检查和管理评审等方式进行。</w:t>
      </w:r>
      <w:r>
        <w:rPr>
          <w:rFonts w:ascii="SimSun" w:hAnsi="SimSun" w:eastAsia="SimSun" w:cs="SimSun"/>
          <w:sz w:val="21"/>
          <w:szCs w:val="21"/>
          <w:spacing w:val="-2"/>
        </w:rPr>
        <w:t>组织应保持监视和评审结果的成文信息。</w:t>
      </w:r>
    </w:p>
    <w:p>
      <w:pPr>
        <w:ind w:left="4"/>
        <w:spacing w:before="161" w:line="234" w:lineRule="auto"/>
        <w:outlineLvl w:val="1"/>
        <w:rPr>
          <w:rFonts w:ascii="SimHei" w:hAnsi="SimHei" w:eastAsia="SimHei" w:cs="SimHei"/>
          <w:sz w:val="21"/>
          <w:szCs w:val="21"/>
        </w:rPr>
      </w:pPr>
      <w:bookmarkStart w:name="bookmark30" w:id="32"/>
      <w:bookmarkEnd w:id="32"/>
      <w:r>
        <w:rPr>
          <w:rFonts w:ascii="Times New Roman" w:hAnsi="Times New Roman" w:eastAsia="Times New Roman" w:cs="Times New Roman"/>
          <w:sz w:val="21"/>
          <w:szCs w:val="21"/>
          <w:spacing w:val="-2"/>
        </w:rPr>
        <w:t>8.5 </w:t>
      </w:r>
      <w:r>
        <w:rPr>
          <w:rFonts w:ascii="SimHei" w:hAnsi="SimHei" w:eastAsia="SimHei" w:cs="SimHei"/>
          <w:sz w:val="21"/>
          <w:szCs w:val="21"/>
          <w:spacing w:val="-2"/>
        </w:rPr>
        <w:t>记录和报告</w:t>
      </w:r>
    </w:p>
    <w:p>
      <w:pPr>
        <w:ind w:right="175" w:firstLine="422"/>
        <w:spacing w:before="162" w:line="360" w:lineRule="auto"/>
        <w:jc w:val="both"/>
        <w:rPr>
          <w:rFonts w:ascii="SimSun" w:hAnsi="SimSun" w:eastAsia="SimSun" w:cs="SimSun"/>
          <w:sz w:val="21"/>
          <w:szCs w:val="21"/>
        </w:rPr>
      </w:pPr>
      <w:r>
        <w:rPr>
          <w:rFonts w:ascii="SimSun" w:hAnsi="SimSun" w:eastAsia="SimSun" w:cs="SimSun"/>
          <w:sz w:val="21"/>
          <w:szCs w:val="21"/>
          <w:spacing w:val="2"/>
        </w:rPr>
        <w:t>组织应保存风险管理过程的适当记录，以确保其可追溯、可验证，并支持有效的沟通和决策。记</w:t>
      </w:r>
      <w:r>
        <w:rPr>
          <w:rFonts w:ascii="SimSun" w:hAnsi="SimSun" w:eastAsia="SimSun" w:cs="SimSun"/>
          <w:sz w:val="21"/>
          <w:szCs w:val="21"/>
          <w:spacing w:val="2"/>
        </w:rPr>
        <w:t>录可包括风险准则、风险清单、风险评估结果、风险应对计划、监视和评审报告等。记录应清晰、可</w:t>
      </w:r>
      <w:r>
        <w:rPr>
          <w:rFonts w:ascii="SimSun" w:hAnsi="SimSun" w:eastAsia="SimSun" w:cs="SimSun"/>
          <w:sz w:val="21"/>
          <w:szCs w:val="21"/>
          <w:spacing w:val="-3"/>
        </w:rPr>
        <w:t>检索和可追溯。</w:t>
      </w:r>
    </w:p>
    <w:p>
      <w:pPr>
        <w:ind w:left="5" w:right="211" w:firstLine="417"/>
        <w:spacing w:before="1" w:line="358" w:lineRule="auto"/>
        <w:rPr>
          <w:rFonts w:ascii="SimSun" w:hAnsi="SimSun" w:eastAsia="SimSun" w:cs="SimSun"/>
          <w:sz w:val="21"/>
          <w:szCs w:val="21"/>
        </w:rPr>
      </w:pPr>
      <w:r>
        <w:rPr>
          <w:rFonts w:ascii="SimSun" w:hAnsi="SimSun" w:eastAsia="SimSun" w:cs="SimSun"/>
          <w:sz w:val="21"/>
          <w:szCs w:val="21"/>
          <w:spacing w:val="2"/>
        </w:rPr>
        <w:t>组织应向相关方提供及时、准确、有用并适合其需</w:t>
      </w:r>
      <w:r>
        <w:rPr>
          <w:rFonts w:ascii="SimSun" w:hAnsi="SimSun" w:eastAsia="SimSun" w:cs="SimSun"/>
          <w:sz w:val="21"/>
          <w:szCs w:val="21"/>
          <w:spacing w:val="1"/>
        </w:rPr>
        <w:t>要的风险信息报告，报告对象可包括管理层、</w:t>
      </w:r>
      <w:r>
        <w:rPr>
          <w:rFonts w:ascii="SimSun" w:hAnsi="SimSun" w:eastAsia="SimSun" w:cs="SimSun"/>
          <w:sz w:val="21"/>
          <w:szCs w:val="21"/>
          <w:spacing w:val="-2"/>
        </w:rPr>
        <w:t>治理机构、员工、监管机构、投资者等。</w:t>
      </w:r>
    </w:p>
    <w:p>
      <w:pPr>
        <w:ind w:left="422"/>
        <w:spacing w:line="219" w:lineRule="auto"/>
        <w:rPr>
          <w:rFonts w:ascii="SimSun" w:hAnsi="SimSun" w:eastAsia="SimSun" w:cs="SimSun"/>
          <w:sz w:val="21"/>
          <w:szCs w:val="21"/>
        </w:rPr>
      </w:pPr>
      <w:r>
        <w:rPr>
          <w:rFonts w:ascii="SimSun" w:hAnsi="SimSun" w:eastAsia="SimSun" w:cs="SimSun"/>
          <w:sz w:val="21"/>
          <w:szCs w:val="21"/>
          <w:spacing w:val="-2"/>
        </w:rPr>
        <w:t>组织应保持记录和报告的相关成文信息。</w:t>
      </w:r>
    </w:p>
    <w:p>
      <w:pPr>
        <w:pStyle w:val="BodyText"/>
        <w:spacing w:line="349" w:lineRule="auto"/>
        <w:rPr/>
      </w:pPr>
      <w:r/>
    </w:p>
    <w:p>
      <w:pPr>
        <w:spacing w:before="70" w:line="233" w:lineRule="auto"/>
        <w:outlineLvl w:val="0"/>
        <w:rPr>
          <w:rFonts w:ascii="SimHei" w:hAnsi="SimHei" w:eastAsia="SimHei" w:cs="SimHei"/>
          <w:sz w:val="21"/>
          <w:szCs w:val="21"/>
        </w:rPr>
      </w:pPr>
      <w:bookmarkStart w:name="bookmark31" w:id="33"/>
      <w:bookmarkEnd w:id="33"/>
      <w:r>
        <w:rPr>
          <w:rFonts w:ascii="Times New Roman" w:hAnsi="Times New Roman" w:eastAsia="Times New Roman" w:cs="Times New Roman"/>
          <w:sz w:val="21"/>
          <w:szCs w:val="21"/>
          <w:spacing w:val="-3"/>
        </w:rPr>
        <w:t>9</w:t>
      </w:r>
      <w:r>
        <w:rPr>
          <w:rFonts w:ascii="Times New Roman" w:hAnsi="Times New Roman" w:eastAsia="Times New Roman" w:cs="Times New Roman"/>
          <w:sz w:val="21"/>
          <w:szCs w:val="21"/>
          <w:spacing w:val="9"/>
        </w:rPr>
        <w:t xml:space="preserve"> </w:t>
      </w:r>
      <w:r>
        <w:rPr>
          <w:rFonts w:ascii="SimHei" w:hAnsi="SimHei" w:eastAsia="SimHei" w:cs="SimHei"/>
          <w:sz w:val="21"/>
          <w:szCs w:val="21"/>
          <w:spacing w:val="-3"/>
        </w:rPr>
        <w:t>绩效评价</w:t>
      </w:r>
    </w:p>
    <w:p>
      <w:pPr>
        <w:spacing w:before="250" w:line="234" w:lineRule="auto"/>
        <w:outlineLvl w:val="1"/>
        <w:rPr>
          <w:rFonts w:ascii="SimHei" w:hAnsi="SimHei" w:eastAsia="SimHei" w:cs="SimHei"/>
          <w:sz w:val="21"/>
          <w:szCs w:val="21"/>
        </w:rPr>
      </w:pPr>
      <w:bookmarkStart w:name="bookmark32" w:id="34"/>
      <w:bookmarkEnd w:id="34"/>
      <w:r>
        <w:rPr>
          <w:rFonts w:ascii="Times New Roman" w:hAnsi="Times New Roman" w:eastAsia="Times New Roman" w:cs="Times New Roman"/>
          <w:sz w:val="21"/>
          <w:szCs w:val="21"/>
          <w:spacing w:val="-1"/>
        </w:rPr>
        <w:t>9.1 </w:t>
      </w:r>
      <w:r>
        <w:rPr>
          <w:rFonts w:ascii="SimHei" w:hAnsi="SimHei" w:eastAsia="SimHei" w:cs="SimHei"/>
          <w:sz w:val="21"/>
          <w:szCs w:val="21"/>
          <w:spacing w:val="-1"/>
        </w:rPr>
        <w:t>监视、测量、分析和评价</w:t>
      </w:r>
    </w:p>
    <w:p>
      <w:pPr>
        <w:ind w:left="422"/>
        <w:spacing w:before="167"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3"/>
        </w:rPr>
        <w:t>——</w:t>
      </w:r>
      <w:r>
        <w:rPr>
          <w:rFonts w:ascii="Times New Roman" w:hAnsi="Times New Roman" w:eastAsia="Times New Roman" w:cs="Times New Roman"/>
          <w:sz w:val="21"/>
          <w:szCs w:val="21"/>
          <w:spacing w:val="16"/>
        </w:rPr>
        <w:t xml:space="preserve"> </w:t>
      </w:r>
      <w:r>
        <w:rPr>
          <w:rFonts w:ascii="SimSun" w:hAnsi="SimSun" w:eastAsia="SimSun" w:cs="SimSun"/>
          <w:sz w:val="21"/>
          <w:szCs w:val="21"/>
          <w:spacing w:val="-3"/>
        </w:rPr>
        <w:t>需要监视和测量的内容；</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适用的监视、测量、分析和评价方法，以确保结果有效；</w:t>
      </w:r>
    </w:p>
    <w:p>
      <w:pPr>
        <w:spacing w:line="219" w:lineRule="auto"/>
        <w:sectPr>
          <w:headerReference w:type="default" r:id="rId21"/>
          <w:footerReference w:type="default" r:id="rId22"/>
          <w:pgSz w:w="11907" w:h="16839"/>
          <w:pgMar w:top="1028" w:right="962" w:bottom="880" w:left="1424" w:header="703" w:footer="678" w:gutter="0"/>
        </w:sectPr>
        <w:rPr>
          <w:rFonts w:ascii="SimSun" w:hAnsi="SimSun" w:eastAsia="SimSun" w:cs="SimSun"/>
          <w:sz w:val="21"/>
          <w:szCs w:val="21"/>
        </w:rPr>
      </w:pPr>
    </w:p>
    <w:p>
      <w:pPr>
        <w:ind w:left="409"/>
        <w:spacing w:before="133"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实施监视和测量的时机；</w:t>
      </w:r>
    </w:p>
    <w:p>
      <w:pPr>
        <w:ind w:left="409"/>
        <w:spacing w:before="160"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分析和评价监视和测量结果的时机。</w:t>
      </w:r>
    </w:p>
    <w:p>
      <w:pPr>
        <w:ind w:left="4" w:right="10" w:firstLine="417"/>
        <w:spacing w:before="158" w:line="359" w:lineRule="auto"/>
        <w:rPr>
          <w:rFonts w:ascii="SimSun" w:hAnsi="SimSun" w:eastAsia="SimSun" w:cs="SimSun"/>
          <w:sz w:val="21"/>
          <w:szCs w:val="21"/>
        </w:rPr>
      </w:pPr>
      <w:r>
        <w:rPr>
          <w:rFonts w:ascii="SimSun" w:hAnsi="SimSun" w:eastAsia="SimSun" w:cs="SimSun"/>
          <w:sz w:val="21"/>
          <w:szCs w:val="21"/>
          <w:spacing w:val="2"/>
        </w:rPr>
        <w:t>组织应评价风险管理体系的绩效和有效性，可包括风险管理目标的实现程度、风险评估和应对的</w:t>
      </w:r>
      <w:r>
        <w:rPr>
          <w:rFonts w:ascii="SimSun" w:hAnsi="SimSun" w:eastAsia="SimSun" w:cs="SimSun"/>
          <w:sz w:val="21"/>
          <w:szCs w:val="21"/>
          <w:spacing w:val="-1"/>
        </w:rPr>
        <w:t>效果、风险水平的趋势等。</w:t>
      </w:r>
    </w:p>
    <w:p>
      <w:pPr>
        <w:ind w:left="422"/>
        <w:spacing w:line="220" w:lineRule="auto"/>
        <w:rPr>
          <w:rFonts w:ascii="SimSun" w:hAnsi="SimSun" w:eastAsia="SimSun" w:cs="SimSun"/>
          <w:sz w:val="21"/>
          <w:szCs w:val="21"/>
        </w:rPr>
      </w:pPr>
      <w:r>
        <w:rPr>
          <w:rFonts w:ascii="SimSun" w:hAnsi="SimSun" w:eastAsia="SimSun" w:cs="SimSun"/>
          <w:sz w:val="21"/>
          <w:szCs w:val="21"/>
          <w:spacing w:val="-1"/>
        </w:rPr>
        <w:t>组织应保留适当的成文信息作为证据。</w:t>
      </w:r>
    </w:p>
    <w:p>
      <w:pPr>
        <w:pStyle w:val="BodyText"/>
        <w:spacing w:line="253" w:lineRule="auto"/>
        <w:rPr/>
      </w:pPr>
      <w:r/>
    </w:p>
    <w:p>
      <w:pPr>
        <w:spacing w:before="68" w:line="234" w:lineRule="auto"/>
        <w:outlineLvl w:val="1"/>
        <w:rPr>
          <w:rFonts w:ascii="SimHei" w:hAnsi="SimHei" w:eastAsia="SimHei" w:cs="SimHei"/>
          <w:sz w:val="21"/>
          <w:szCs w:val="21"/>
        </w:rPr>
      </w:pPr>
      <w:bookmarkStart w:name="bookmark33" w:id="35"/>
      <w:bookmarkEnd w:id="35"/>
      <w:r>
        <w:rPr>
          <w:rFonts w:ascii="Times New Roman" w:hAnsi="Times New Roman" w:eastAsia="Times New Roman" w:cs="Times New Roman"/>
          <w:sz w:val="21"/>
          <w:szCs w:val="21"/>
          <w:spacing w:val="-4"/>
        </w:rPr>
        <w:t>9.2</w:t>
      </w:r>
      <w:r>
        <w:rPr>
          <w:rFonts w:ascii="Times New Roman" w:hAnsi="Times New Roman" w:eastAsia="Times New Roman" w:cs="Times New Roman"/>
          <w:sz w:val="21"/>
          <w:szCs w:val="21"/>
          <w:spacing w:val="21"/>
          <w:w w:val="101"/>
        </w:rPr>
        <w:t xml:space="preserve"> </w:t>
      </w:r>
      <w:r>
        <w:rPr>
          <w:rFonts w:ascii="SimHei" w:hAnsi="SimHei" w:eastAsia="SimHei" w:cs="SimHei"/>
          <w:sz w:val="21"/>
          <w:szCs w:val="21"/>
          <w:spacing w:val="-4"/>
        </w:rPr>
        <w:t>内部审核</w:t>
      </w:r>
    </w:p>
    <w:p>
      <w:pPr>
        <w:ind w:left="4" w:right="10" w:firstLine="417"/>
        <w:spacing w:before="163" w:line="360" w:lineRule="auto"/>
        <w:rPr>
          <w:rFonts w:ascii="SimSun" w:hAnsi="SimSun" w:eastAsia="SimSun" w:cs="SimSun"/>
          <w:sz w:val="21"/>
          <w:szCs w:val="21"/>
        </w:rPr>
      </w:pPr>
      <w:r>
        <w:rPr>
          <w:rFonts w:ascii="SimSun" w:hAnsi="SimSun" w:eastAsia="SimSun" w:cs="SimSun"/>
          <w:sz w:val="21"/>
          <w:szCs w:val="21"/>
          <w:spacing w:val="2"/>
        </w:rPr>
        <w:t>组织应按策划的时间间隔进行内部审核，以提供风险管理体系是否符合本文件要求、是否得到有</w:t>
      </w:r>
      <w:r>
        <w:rPr>
          <w:rFonts w:ascii="SimSun" w:hAnsi="SimSun" w:eastAsia="SimSun" w:cs="SimSun"/>
          <w:sz w:val="21"/>
          <w:szCs w:val="21"/>
          <w:spacing w:val="-1"/>
        </w:rPr>
        <w:t>效实施和保持的信息。</w:t>
      </w:r>
    </w:p>
    <w:p>
      <w:pPr>
        <w:ind w:left="422"/>
        <w:spacing w:before="1" w:line="222" w:lineRule="auto"/>
        <w:rPr>
          <w:rFonts w:ascii="SimSun" w:hAnsi="SimSun" w:eastAsia="SimSun" w:cs="SimSun"/>
          <w:sz w:val="21"/>
          <w:szCs w:val="21"/>
        </w:rPr>
      </w:pPr>
      <w:r>
        <w:rPr>
          <w:rFonts w:ascii="SimSun" w:hAnsi="SimSun" w:eastAsia="SimSun" w:cs="SimSun"/>
          <w:sz w:val="21"/>
          <w:szCs w:val="21"/>
          <w:spacing w:val="-2"/>
        </w:rPr>
        <w:t>组织应：</w:t>
      </w:r>
    </w:p>
    <w:p>
      <w:pPr>
        <w:ind w:left="420" w:right="59" w:hanging="11"/>
        <w:spacing w:before="154"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依据风险管理过程的重要性和以往审核结果，策划、建立、实施和保持审核方案，包括审核</w:t>
      </w:r>
      <w:r>
        <w:rPr>
          <w:rFonts w:ascii="SimSun" w:hAnsi="SimSun" w:eastAsia="SimSun" w:cs="SimSun"/>
          <w:sz w:val="21"/>
          <w:szCs w:val="21"/>
          <w:spacing w:val="-1"/>
        </w:rPr>
        <w:t>准则、范围、频次和方法；</w:t>
      </w:r>
    </w:p>
    <w:p>
      <w:pPr>
        <w:ind w:left="409"/>
        <w:spacing w:before="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规定每次审核的准则和范围；</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选择能确保审核过程客观、公正的审核员并实施审核；</w:t>
      </w:r>
    </w:p>
    <w:p>
      <w:pPr>
        <w:ind w:left="409"/>
        <w:spacing w:before="160" w:line="219"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确保将审核结果报告给相关管理者；</w:t>
      </w:r>
    </w:p>
    <w:p>
      <w:pPr>
        <w:ind w:left="409"/>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及时采取适当的纠正和纠正措施；</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保留作为审核方案实施和审核结果证据的成文信息。</w:t>
      </w:r>
    </w:p>
    <w:p>
      <w:pPr>
        <w:pStyle w:val="BodyText"/>
        <w:spacing w:line="250" w:lineRule="auto"/>
        <w:rPr/>
      </w:pPr>
      <w:r/>
    </w:p>
    <w:p>
      <w:pPr>
        <w:spacing w:before="69" w:line="234" w:lineRule="auto"/>
        <w:outlineLvl w:val="1"/>
        <w:rPr>
          <w:rFonts w:ascii="SimHei" w:hAnsi="SimHei" w:eastAsia="SimHei" w:cs="SimHei"/>
          <w:sz w:val="21"/>
          <w:szCs w:val="21"/>
        </w:rPr>
      </w:pPr>
      <w:bookmarkStart w:name="bookmark34" w:id="36"/>
      <w:bookmarkEnd w:id="36"/>
      <w:r>
        <w:rPr>
          <w:rFonts w:ascii="Times New Roman" w:hAnsi="Times New Roman" w:eastAsia="Times New Roman" w:cs="Times New Roman"/>
          <w:sz w:val="21"/>
          <w:szCs w:val="21"/>
          <w:spacing w:val="-3"/>
        </w:rPr>
        <w:t>9.3</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3"/>
        </w:rPr>
        <w:t>管理评审</w:t>
      </w:r>
    </w:p>
    <w:p>
      <w:pPr>
        <w:ind w:left="4" w:right="10" w:firstLine="417"/>
        <w:spacing w:before="165" w:line="359" w:lineRule="auto"/>
        <w:rPr>
          <w:rFonts w:ascii="SimSun" w:hAnsi="SimSun" w:eastAsia="SimSun" w:cs="SimSun"/>
          <w:sz w:val="21"/>
          <w:szCs w:val="21"/>
        </w:rPr>
      </w:pPr>
      <w:r>
        <w:rPr>
          <w:rFonts w:ascii="SimSun" w:hAnsi="SimSun" w:eastAsia="SimSun" w:cs="SimSun"/>
          <w:sz w:val="21"/>
          <w:szCs w:val="21"/>
          <w:spacing w:val="2"/>
        </w:rPr>
        <w:t>最高管理者应按策划的时间间隔评审组织的风险管理体系，以确保其持续的适宜性、充分性和有</w:t>
      </w:r>
      <w:r>
        <w:rPr>
          <w:rFonts w:ascii="SimSun" w:hAnsi="SimSun" w:eastAsia="SimSun" w:cs="SimSun"/>
          <w:sz w:val="21"/>
          <w:szCs w:val="21"/>
          <w:spacing w:val="-10"/>
        </w:rPr>
        <w:t>效性。</w:t>
      </w:r>
    </w:p>
    <w:p>
      <w:pPr>
        <w:ind w:left="424"/>
        <w:spacing w:before="1" w:line="219" w:lineRule="auto"/>
        <w:rPr>
          <w:rFonts w:ascii="SimSun" w:hAnsi="SimSun" w:eastAsia="SimSun" w:cs="SimSun"/>
          <w:sz w:val="21"/>
          <w:szCs w:val="21"/>
        </w:rPr>
      </w:pPr>
      <w:r>
        <w:rPr>
          <w:rFonts w:ascii="SimSun" w:hAnsi="SimSun" w:eastAsia="SimSun" w:cs="SimSun"/>
          <w:sz w:val="21"/>
          <w:szCs w:val="21"/>
          <w:spacing w:val="-2"/>
        </w:rPr>
        <w:t>管理评审应考虑：</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42"/>
          <w:w w:val="101"/>
        </w:rPr>
        <w:t xml:space="preserve"> </w:t>
      </w:r>
      <w:r>
        <w:rPr>
          <w:rFonts w:ascii="SimSun" w:hAnsi="SimSun" w:eastAsia="SimSun" w:cs="SimSun"/>
          <w:sz w:val="21"/>
          <w:szCs w:val="21"/>
          <w:spacing w:val="-4"/>
        </w:rPr>
        <w:t>以往管理评审措施的实施情况；</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与风险管理体系有关的内外部因素的变化；</w:t>
      </w:r>
    </w:p>
    <w:p>
      <w:pPr>
        <w:ind w:left="418" w:right="59" w:hanging="9"/>
        <w:spacing w:before="157"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有关风险管理体系绩效的信息，包括风险管理目标实现程度、风险评估和应对结果、监视和</w:t>
      </w:r>
      <w:r>
        <w:rPr>
          <w:rFonts w:ascii="SimSun" w:hAnsi="SimSun" w:eastAsia="SimSun" w:cs="SimSun"/>
          <w:sz w:val="21"/>
          <w:szCs w:val="21"/>
          <w:spacing w:val="-3"/>
        </w:rPr>
        <w:t>评审结果、内部审核结果等；</w:t>
      </w:r>
    </w:p>
    <w:p>
      <w:pPr>
        <w:ind w:left="409"/>
        <w:spacing w:before="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资源是否充分；</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相关方的反馈；</w:t>
      </w:r>
    </w:p>
    <w:p>
      <w:pPr>
        <w:ind w:left="409"/>
        <w:spacing w:before="159"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改进的机会。</w:t>
      </w:r>
    </w:p>
    <w:p>
      <w:pPr>
        <w:ind w:left="424"/>
        <w:spacing w:before="158" w:line="220" w:lineRule="auto"/>
        <w:rPr>
          <w:rFonts w:ascii="SimSun" w:hAnsi="SimSun" w:eastAsia="SimSun" w:cs="SimSun"/>
          <w:sz w:val="21"/>
          <w:szCs w:val="21"/>
        </w:rPr>
      </w:pPr>
      <w:r>
        <w:rPr>
          <w:rFonts w:ascii="SimSun" w:hAnsi="SimSun" w:eastAsia="SimSun" w:cs="SimSun"/>
          <w:sz w:val="21"/>
          <w:szCs w:val="21"/>
          <w:spacing w:val="-1"/>
        </w:rPr>
        <w:t>管理评审的输出应包括与持续改进机会和风险管理体系所需的变更有关的决定和措施。</w:t>
      </w:r>
    </w:p>
    <w:p>
      <w:pPr>
        <w:ind w:left="422"/>
        <w:spacing w:before="157" w:line="221" w:lineRule="auto"/>
        <w:rPr>
          <w:rFonts w:ascii="SimSun" w:hAnsi="SimSun" w:eastAsia="SimSun" w:cs="SimSun"/>
          <w:sz w:val="21"/>
          <w:szCs w:val="21"/>
        </w:rPr>
      </w:pPr>
      <w:r>
        <w:rPr>
          <w:rFonts w:ascii="SimSun" w:hAnsi="SimSun" w:eastAsia="SimSun" w:cs="SimSun"/>
          <w:sz w:val="21"/>
          <w:szCs w:val="21"/>
          <w:spacing w:val="-1"/>
        </w:rPr>
        <w:t>组织应保留作为管理评审结果证据的成文信息。</w:t>
      </w:r>
    </w:p>
    <w:p>
      <w:pPr>
        <w:pStyle w:val="BodyText"/>
        <w:spacing w:line="348" w:lineRule="auto"/>
        <w:rPr/>
      </w:pPr>
      <w:r/>
    </w:p>
    <w:p>
      <w:pPr>
        <w:ind w:left="16"/>
        <w:spacing w:before="68" w:line="234" w:lineRule="auto"/>
        <w:outlineLvl w:val="0"/>
        <w:rPr>
          <w:rFonts w:ascii="SimHei" w:hAnsi="SimHei" w:eastAsia="SimHei" w:cs="SimHei"/>
          <w:sz w:val="21"/>
          <w:szCs w:val="21"/>
        </w:rPr>
      </w:pPr>
      <w:bookmarkStart w:name="bookmark35" w:id="37"/>
      <w:bookmarkEnd w:id="37"/>
      <w:r>
        <w:rPr>
          <w:rFonts w:ascii="Times New Roman" w:hAnsi="Times New Roman" w:eastAsia="Times New Roman" w:cs="Times New Roman"/>
          <w:sz w:val="21"/>
          <w:szCs w:val="21"/>
          <w:spacing w:val="-8"/>
        </w:rPr>
        <w:t>10</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8"/>
        </w:rPr>
        <w:t>改进</w:t>
      </w:r>
    </w:p>
    <w:p>
      <w:pPr>
        <w:ind w:left="16"/>
        <w:spacing w:before="250" w:line="234" w:lineRule="auto"/>
        <w:outlineLvl w:val="1"/>
        <w:rPr>
          <w:rFonts w:ascii="SimHei" w:hAnsi="SimHei" w:eastAsia="SimHei" w:cs="SimHei"/>
          <w:sz w:val="21"/>
          <w:szCs w:val="21"/>
        </w:rPr>
      </w:pPr>
      <w:bookmarkStart w:name="bookmark36" w:id="38"/>
      <w:bookmarkEnd w:id="38"/>
      <w:r>
        <w:rPr>
          <w:rFonts w:ascii="Times New Roman" w:hAnsi="Times New Roman" w:eastAsia="Times New Roman" w:cs="Times New Roman"/>
          <w:sz w:val="21"/>
          <w:szCs w:val="21"/>
          <w:spacing w:val="-5"/>
        </w:rPr>
        <w:t>10.1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5"/>
        </w:rPr>
        <w:t>总则</w:t>
      </w:r>
    </w:p>
    <w:p>
      <w:pPr>
        <w:ind w:right="10" w:firstLine="421"/>
        <w:spacing w:before="167" w:line="360" w:lineRule="auto"/>
        <w:rPr>
          <w:rFonts w:ascii="SimSun" w:hAnsi="SimSun" w:eastAsia="SimSun" w:cs="SimSun"/>
          <w:sz w:val="21"/>
          <w:szCs w:val="21"/>
        </w:rPr>
      </w:pPr>
      <w:r>
        <w:rPr>
          <w:rFonts w:ascii="SimSun" w:hAnsi="SimSun" w:eastAsia="SimSun" w:cs="SimSun"/>
          <w:sz w:val="21"/>
          <w:szCs w:val="21"/>
          <w:spacing w:val="2"/>
        </w:rPr>
        <w:t>组织应确定和选择改进机会，并采取必要措施，以提升风险管理体系的绩效和有效性，创造和保</w:t>
      </w:r>
      <w:r>
        <w:rPr>
          <w:rFonts w:ascii="SimSun" w:hAnsi="SimSun" w:eastAsia="SimSun" w:cs="SimSun"/>
          <w:sz w:val="21"/>
          <w:szCs w:val="21"/>
          <w:spacing w:val="-2"/>
        </w:rPr>
        <w:t>护价值。</w:t>
      </w:r>
    </w:p>
    <w:p>
      <w:pPr>
        <w:spacing w:line="360" w:lineRule="auto"/>
        <w:sectPr>
          <w:headerReference w:type="default" r:id="rId23"/>
          <w:footerReference w:type="default" r:id="rId24"/>
          <w:pgSz w:w="11907" w:h="16839"/>
          <w:pgMar w:top="1028" w:right="1132" w:bottom="880" w:left="1424" w:header="703" w:footer="678" w:gutter="0"/>
        </w:sectPr>
        <w:rPr>
          <w:rFonts w:ascii="SimSun" w:hAnsi="SimSun" w:eastAsia="SimSun" w:cs="SimSun"/>
          <w:sz w:val="21"/>
          <w:szCs w:val="21"/>
        </w:rPr>
      </w:pPr>
    </w:p>
    <w:p>
      <w:pPr>
        <w:ind w:left="15"/>
        <w:spacing w:before="138" w:line="234" w:lineRule="auto"/>
        <w:outlineLvl w:val="1"/>
        <w:rPr>
          <w:rFonts w:ascii="SimHei" w:hAnsi="SimHei" w:eastAsia="SimHei" w:cs="SimHei"/>
          <w:sz w:val="21"/>
          <w:szCs w:val="21"/>
        </w:rPr>
      </w:pPr>
      <w:bookmarkStart w:name="bookmark37" w:id="39"/>
      <w:bookmarkEnd w:id="39"/>
      <w:r>
        <w:rPr>
          <w:rFonts w:ascii="Times New Roman" w:hAnsi="Times New Roman" w:eastAsia="Times New Roman" w:cs="Times New Roman"/>
          <w:sz w:val="21"/>
          <w:szCs w:val="21"/>
          <w:spacing w:val="-2"/>
        </w:rPr>
        <w:t>10.2 </w:t>
      </w:r>
      <w:r>
        <w:rPr>
          <w:rFonts w:ascii="SimHei" w:hAnsi="SimHei" w:eastAsia="SimHei" w:cs="SimHei"/>
          <w:sz w:val="21"/>
          <w:szCs w:val="21"/>
          <w:spacing w:val="-2"/>
        </w:rPr>
        <w:t>不符合和纠正措施</w:t>
      </w:r>
    </w:p>
    <w:p>
      <w:pPr>
        <w:ind w:left="437"/>
        <w:spacing w:before="163" w:line="221" w:lineRule="auto"/>
        <w:rPr>
          <w:rFonts w:ascii="SimSun" w:hAnsi="SimSun" w:eastAsia="SimSun" w:cs="SimSun"/>
          <w:sz w:val="21"/>
          <w:szCs w:val="21"/>
        </w:rPr>
      </w:pPr>
      <w:r>
        <w:rPr>
          <w:rFonts w:ascii="SimSun" w:hAnsi="SimSun" w:eastAsia="SimSun" w:cs="SimSun"/>
          <w:sz w:val="21"/>
          <w:szCs w:val="21"/>
          <w:spacing w:val="-5"/>
        </w:rPr>
        <w:t>出现不符合时，组织应：</w:t>
      </w:r>
    </w:p>
    <w:p>
      <w:pPr>
        <w:ind w:left="409"/>
        <w:spacing w:before="159"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对不符合作出响应，适用时采取措施予以控制和纠正，并处置产生的后果；</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通过分析确定不符合的原因，确定是否存在或可能发生类似的不符合；</w:t>
      </w:r>
    </w:p>
    <w:p>
      <w:pPr>
        <w:ind w:left="409"/>
        <w:spacing w:before="156"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采取纠正措施，消除不符合的原因，以避免再次发生；</w:t>
      </w:r>
    </w:p>
    <w:p>
      <w:pPr>
        <w:ind w:left="409"/>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评审所采取的纠正措施的有效性；</w:t>
      </w:r>
    </w:p>
    <w:p>
      <w:pPr>
        <w:ind w:left="409"/>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必要时，更新策划期间确定的风险和机遇，以及风险</w:t>
      </w:r>
      <w:r>
        <w:rPr>
          <w:rFonts w:ascii="SimSun" w:hAnsi="SimSun" w:eastAsia="SimSun" w:cs="SimSun"/>
          <w:sz w:val="21"/>
          <w:szCs w:val="21"/>
          <w:spacing w:val="-1"/>
        </w:rPr>
        <w:t>管理体系所需的变更。</w:t>
      </w:r>
    </w:p>
    <w:p>
      <w:pPr>
        <w:ind w:left="421"/>
        <w:spacing w:before="160" w:line="220" w:lineRule="auto"/>
        <w:rPr>
          <w:rFonts w:ascii="SimSun" w:hAnsi="SimSun" w:eastAsia="SimSun" w:cs="SimSun"/>
          <w:sz w:val="21"/>
          <w:szCs w:val="21"/>
        </w:rPr>
      </w:pPr>
      <w:r>
        <w:rPr>
          <w:rFonts w:ascii="SimSun" w:hAnsi="SimSun" w:eastAsia="SimSun" w:cs="SimSun"/>
          <w:sz w:val="21"/>
          <w:szCs w:val="21"/>
          <w:spacing w:val="-1"/>
        </w:rPr>
        <w:t>组织应保留下列成文信息：不符合的性质、所采取的措施以及措施的结果。</w:t>
      </w:r>
    </w:p>
    <w:p>
      <w:pPr>
        <w:pStyle w:val="BodyText"/>
        <w:spacing w:line="251" w:lineRule="auto"/>
        <w:rPr/>
      </w:pPr>
      <w:r/>
    </w:p>
    <w:p>
      <w:pPr>
        <w:ind w:left="15"/>
        <w:spacing w:before="69" w:line="234" w:lineRule="auto"/>
        <w:outlineLvl w:val="1"/>
        <w:rPr>
          <w:rFonts w:ascii="SimHei" w:hAnsi="SimHei" w:eastAsia="SimHei" w:cs="SimHei"/>
          <w:sz w:val="21"/>
          <w:szCs w:val="21"/>
        </w:rPr>
      </w:pPr>
      <w:bookmarkStart w:name="bookmark38" w:id="40"/>
      <w:bookmarkEnd w:id="40"/>
      <w:r>
        <w:rPr>
          <w:rFonts w:ascii="Times New Roman" w:hAnsi="Times New Roman" w:eastAsia="Times New Roman" w:cs="Times New Roman"/>
          <w:sz w:val="21"/>
          <w:szCs w:val="21"/>
          <w:spacing w:val="-3"/>
        </w:rPr>
        <w:t>10.3 </w:t>
      </w:r>
      <w:r>
        <w:rPr>
          <w:rFonts w:ascii="SimHei" w:hAnsi="SimHei" w:eastAsia="SimHei" w:cs="SimHei"/>
          <w:sz w:val="21"/>
          <w:szCs w:val="21"/>
          <w:spacing w:val="-3"/>
        </w:rPr>
        <w:t>持续改进</w:t>
      </w:r>
    </w:p>
    <w:p>
      <w:pPr>
        <w:ind w:right="10" w:firstLine="421"/>
        <w:spacing w:before="163" w:line="363" w:lineRule="auto"/>
        <w:rPr>
          <w:rFonts w:ascii="SimSun" w:hAnsi="SimSun" w:eastAsia="SimSun" w:cs="SimSun"/>
          <w:sz w:val="21"/>
          <w:szCs w:val="21"/>
        </w:rPr>
      </w:pPr>
      <w:r>
        <w:rPr>
          <w:rFonts w:ascii="SimSun" w:hAnsi="SimSun" w:eastAsia="SimSun" w:cs="SimSun"/>
          <w:sz w:val="21"/>
          <w:szCs w:val="21"/>
          <w:spacing w:val="2"/>
        </w:rPr>
        <w:t>组织应持续改进风险管理体系的适宜性、充分性和有效性，通过分享经验教训、采用新技术新方</w:t>
      </w:r>
      <w:r>
        <w:rPr>
          <w:rFonts w:ascii="SimSun" w:hAnsi="SimSun" w:eastAsia="SimSun" w:cs="SimSun"/>
          <w:sz w:val="21"/>
          <w:szCs w:val="21"/>
        </w:rPr>
        <w:t>法和完善风险管理文化等方式，不断提升风险管理能力和组</w:t>
      </w:r>
      <w:r>
        <w:rPr>
          <w:rFonts w:ascii="SimSun" w:hAnsi="SimSun" w:eastAsia="SimSun" w:cs="SimSun"/>
          <w:sz w:val="21"/>
          <w:szCs w:val="21"/>
          <w:spacing w:val="-1"/>
        </w:rPr>
        <w:t>织绩效。</w:t>
      </w:r>
    </w:p>
    <w:p>
      <w:pPr>
        <w:spacing w:line="363" w:lineRule="auto"/>
        <w:sectPr>
          <w:headerReference w:type="default" r:id="rId19"/>
          <w:footerReference w:type="default" r:id="rId25"/>
          <w:pgSz w:w="11907" w:h="16839"/>
          <w:pgMar w:top="1028" w:right="1132" w:bottom="880" w:left="1425" w:header="703" w:footer="680" w:gutter="0"/>
        </w:sectPr>
        <w:rPr>
          <w:rFonts w:ascii="SimSun" w:hAnsi="SimSun" w:eastAsia="SimSun" w:cs="SimSun"/>
          <w:sz w:val="21"/>
          <w:szCs w:val="21"/>
        </w:rPr>
      </w:pPr>
    </w:p>
    <w:p>
      <w:pPr>
        <w:ind w:left="4390"/>
        <w:spacing w:before="135" w:line="220" w:lineRule="auto"/>
        <w:outlineLvl w:val="0"/>
        <w:rPr>
          <w:rFonts w:ascii="Times New Roman" w:hAnsi="Times New Roman" w:eastAsia="Times New Roman" w:cs="Times New Roman"/>
          <w:sz w:val="21"/>
          <w:szCs w:val="21"/>
        </w:rPr>
      </w:pPr>
      <w:bookmarkStart w:name="bookmark39" w:id="41"/>
      <w:bookmarkEnd w:id="41"/>
      <w:r>
        <w:rPr>
          <w:rFonts w:ascii="SimHei" w:hAnsi="SimHei" w:eastAsia="SimHei" w:cs="SimHei"/>
          <w:sz w:val="21"/>
          <w:szCs w:val="21"/>
          <w:spacing w:val="-6"/>
        </w:rPr>
        <w:t>附录</w:t>
      </w:r>
      <w:r>
        <w:rPr>
          <w:rFonts w:ascii="SimHei" w:hAnsi="SimHei" w:eastAsia="SimHei" w:cs="SimHei"/>
          <w:sz w:val="21"/>
          <w:szCs w:val="21"/>
          <w:spacing w:val="-53"/>
        </w:rPr>
        <w:t xml:space="preserve"> </w:t>
      </w:r>
      <w:r>
        <w:rPr>
          <w:rFonts w:ascii="Times New Roman" w:hAnsi="Times New Roman" w:eastAsia="Times New Roman" w:cs="Times New Roman"/>
          <w:sz w:val="21"/>
          <w:szCs w:val="21"/>
          <w:spacing w:val="-6"/>
        </w:rPr>
        <w:t>A</w:t>
      </w:r>
    </w:p>
    <w:p>
      <w:pPr>
        <w:ind w:left="4180"/>
        <w:spacing w:before="105" w:line="220" w:lineRule="auto"/>
        <w:outlineLvl w:val="0"/>
        <w:rPr>
          <w:rFonts w:ascii="SimHei" w:hAnsi="SimHei" w:eastAsia="SimHei" w:cs="SimHei"/>
          <w:sz w:val="21"/>
          <w:szCs w:val="21"/>
        </w:rPr>
      </w:pPr>
      <w:bookmarkStart w:name="bookmark39" w:id="42"/>
      <w:bookmarkEnd w:id="42"/>
      <w:r>
        <w:rPr>
          <w:rFonts w:ascii="SimHei" w:hAnsi="SimHei" w:eastAsia="SimHei" w:cs="SimHei"/>
          <w:sz w:val="21"/>
          <w:szCs w:val="21"/>
          <w:spacing w:val="-7"/>
        </w:rPr>
        <w:t>（资料性）</w:t>
      </w:r>
    </w:p>
    <w:p>
      <w:pPr>
        <w:ind w:left="3852"/>
        <w:spacing w:before="104" w:line="220" w:lineRule="auto"/>
        <w:outlineLvl w:val="0"/>
        <w:rPr>
          <w:rFonts w:ascii="SimHei" w:hAnsi="SimHei" w:eastAsia="SimHei" w:cs="SimHei"/>
          <w:sz w:val="21"/>
          <w:szCs w:val="21"/>
        </w:rPr>
      </w:pPr>
      <w:bookmarkStart w:name="bookmark39" w:id="43"/>
      <w:bookmarkEnd w:id="43"/>
      <w:r>
        <w:rPr>
          <w:rFonts w:ascii="SimHei" w:hAnsi="SimHei" w:eastAsia="SimHei" w:cs="SimHei"/>
          <w:sz w:val="21"/>
          <w:szCs w:val="21"/>
          <w:spacing w:val="-1"/>
        </w:rPr>
        <w:t>风险管理八项原则</w:t>
      </w:r>
    </w:p>
    <w:p>
      <w:pPr>
        <w:ind w:left="435"/>
        <w:spacing w:before="300" w:line="234" w:lineRule="auto"/>
        <w:rPr>
          <w:rFonts w:ascii="SimSun" w:hAnsi="SimSun" w:eastAsia="SimSun" w:cs="SimSun"/>
          <w:sz w:val="21"/>
          <w:szCs w:val="21"/>
        </w:rPr>
      </w:pPr>
      <w:r>
        <w:rPr>
          <w:rFonts w:ascii="SimSun" w:hAnsi="SimSun" w:eastAsia="SimSun" w:cs="SimSun"/>
          <w:sz w:val="21"/>
          <w:szCs w:val="21"/>
          <w:spacing w:val="-1"/>
        </w:rPr>
        <w:t>组织可参照表</w:t>
      </w:r>
      <w:r>
        <w:rPr>
          <w:rFonts w:ascii="SimSun" w:hAnsi="SimSun" w:eastAsia="SimSun" w:cs="SimSun"/>
          <w:sz w:val="21"/>
          <w:szCs w:val="21"/>
          <w:spacing w:val="-46"/>
        </w:rPr>
        <w:t xml:space="preserve"> </w:t>
      </w:r>
      <w:r>
        <w:rPr>
          <w:rFonts w:ascii="Times New Roman" w:hAnsi="Times New Roman" w:eastAsia="Times New Roman" w:cs="Times New Roman"/>
          <w:sz w:val="21"/>
          <w:szCs w:val="21"/>
          <w:spacing w:val="-1"/>
        </w:rPr>
        <w:t>A.1 </w:t>
      </w:r>
      <w:r>
        <w:rPr>
          <w:rFonts w:ascii="SimSun" w:hAnsi="SimSun" w:eastAsia="SimSun" w:cs="SimSun"/>
          <w:sz w:val="21"/>
          <w:szCs w:val="21"/>
          <w:spacing w:val="-1"/>
        </w:rPr>
        <w:t>理解并应用风险管理的八项原则。</w:t>
      </w:r>
    </w:p>
    <w:p>
      <w:pPr>
        <w:pStyle w:val="BodyText"/>
        <w:spacing w:line="242" w:lineRule="auto"/>
        <w:rPr/>
      </w:pPr>
      <w:r/>
    </w:p>
    <w:p>
      <w:pPr>
        <w:ind w:left="3704"/>
        <w:spacing w:before="58" w:line="233" w:lineRule="auto"/>
        <w:rPr>
          <w:rFonts w:ascii="SimHei" w:hAnsi="SimHei" w:eastAsia="SimHei" w:cs="SimHei"/>
          <w:sz w:val="18"/>
          <w:szCs w:val="18"/>
        </w:rPr>
      </w:pPr>
      <w:r>
        <w:rPr>
          <w:rFonts w:ascii="SimHei" w:hAnsi="SimHei" w:eastAsia="SimHei" w:cs="SimHei"/>
          <w:sz w:val="18"/>
          <w:szCs w:val="18"/>
          <w:spacing w:val="-1"/>
        </w:rPr>
        <w:t>表</w:t>
      </w:r>
      <w:r>
        <w:rPr>
          <w:rFonts w:ascii="SimHei" w:hAnsi="SimHei" w:eastAsia="SimHei" w:cs="SimHei"/>
          <w:sz w:val="18"/>
          <w:szCs w:val="18"/>
          <w:spacing w:val="-40"/>
        </w:rPr>
        <w:t xml:space="preserve"> </w:t>
      </w:r>
      <w:r>
        <w:rPr>
          <w:rFonts w:ascii="Times New Roman" w:hAnsi="Times New Roman" w:eastAsia="Times New Roman" w:cs="Times New Roman"/>
          <w:sz w:val="18"/>
          <w:szCs w:val="18"/>
          <w:spacing w:val="-1"/>
        </w:rPr>
        <w:t>A.1 </w:t>
      </w:r>
      <w:r>
        <w:rPr>
          <w:rFonts w:ascii="SimHei" w:hAnsi="SimHei" w:eastAsia="SimHei" w:cs="SimHei"/>
          <w:sz w:val="18"/>
          <w:szCs w:val="18"/>
          <w:spacing w:val="-1"/>
        </w:rPr>
        <w:t>风险管理八项原则</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5"/>
              <w:spacing w:before="32" w:line="207" w:lineRule="auto"/>
              <w:rPr>
                <w:rFonts w:ascii="SimHei" w:hAnsi="SimHei" w:eastAsia="SimHei" w:cs="SimHei"/>
                <w:sz w:val="18"/>
                <w:szCs w:val="18"/>
              </w:rPr>
            </w:pPr>
            <w:r>
              <w:rPr>
                <w:rFonts w:ascii="SimHei" w:hAnsi="SimHei" w:eastAsia="SimHei" w:cs="SimHei"/>
                <w:sz w:val="18"/>
                <w:szCs w:val="18"/>
                <w:spacing w:val="-2"/>
              </w:rPr>
              <w:t>原则</w:t>
            </w:r>
          </w:p>
        </w:tc>
        <w:tc>
          <w:tcPr>
            <w:tcW w:w="3116" w:type="dxa"/>
            <w:vAlign w:val="top"/>
          </w:tcPr>
          <w:p>
            <w:pPr>
              <w:ind w:left="1215"/>
              <w:spacing w:before="32" w:line="207" w:lineRule="auto"/>
              <w:rPr>
                <w:rFonts w:ascii="SimHei" w:hAnsi="SimHei" w:eastAsia="SimHei" w:cs="SimHei"/>
                <w:sz w:val="18"/>
                <w:szCs w:val="18"/>
              </w:rPr>
            </w:pPr>
            <w:r>
              <w:rPr>
                <w:rFonts w:ascii="SimHei" w:hAnsi="SimHei" w:eastAsia="SimHei" w:cs="SimHei"/>
                <w:sz w:val="18"/>
                <w:szCs w:val="18"/>
                <w:spacing w:val="-4"/>
              </w:rPr>
              <w:t>内涵解释</w:t>
            </w:r>
          </w:p>
        </w:tc>
        <w:tc>
          <w:tcPr>
            <w:tcW w:w="3124" w:type="dxa"/>
            <w:vAlign w:val="top"/>
          </w:tcPr>
          <w:p>
            <w:pPr>
              <w:ind w:left="1211"/>
              <w:spacing w:before="32" w:line="207" w:lineRule="auto"/>
              <w:rPr>
                <w:rFonts w:ascii="SimHei" w:hAnsi="SimHei" w:eastAsia="SimHei" w:cs="SimHei"/>
                <w:sz w:val="18"/>
                <w:szCs w:val="18"/>
              </w:rPr>
            </w:pPr>
            <w:r>
              <w:rPr>
                <w:rFonts w:ascii="SimHei" w:hAnsi="SimHei" w:eastAsia="SimHei" w:cs="SimHei"/>
                <w:sz w:val="18"/>
                <w:szCs w:val="18"/>
                <w:spacing w:val="-3"/>
              </w:rPr>
              <w:t>实施要点</w:t>
            </w:r>
          </w:p>
        </w:tc>
      </w:tr>
      <w:tr>
        <w:trPr>
          <w:trHeight w:val="472" w:hRule="atLeast"/>
        </w:trPr>
        <w:tc>
          <w:tcPr>
            <w:tcW w:w="3121" w:type="dxa"/>
            <w:vAlign w:val="top"/>
          </w:tcPr>
          <w:p>
            <w:pPr>
              <w:pStyle w:val="TableText"/>
              <w:ind w:left="1385"/>
              <w:spacing w:before="143" w:line="223" w:lineRule="auto"/>
              <w:rPr/>
            </w:pPr>
            <w:r>
              <w:rPr>
                <w:spacing w:val="-2"/>
              </w:rPr>
              <w:t>整合</w:t>
            </w:r>
          </w:p>
        </w:tc>
        <w:tc>
          <w:tcPr>
            <w:tcW w:w="3116" w:type="dxa"/>
            <w:vAlign w:val="top"/>
          </w:tcPr>
          <w:p>
            <w:pPr>
              <w:pStyle w:val="TableText"/>
              <w:ind w:left="116" w:right="123" w:hanging="1"/>
              <w:spacing w:before="25" w:line="224" w:lineRule="auto"/>
              <w:rPr/>
            </w:pPr>
            <w:r>
              <w:rPr>
                <w:spacing w:val="-1"/>
              </w:rPr>
              <w:t>风险管理是组织所有活动的有机组成</w:t>
            </w:r>
            <w:r>
              <w:rPr>
                <w:spacing w:val="-1"/>
              </w:rPr>
              <w:t>部分，而非独立的附加活动</w:t>
            </w:r>
          </w:p>
        </w:tc>
        <w:tc>
          <w:tcPr>
            <w:tcW w:w="3124" w:type="dxa"/>
            <w:vAlign w:val="top"/>
          </w:tcPr>
          <w:p>
            <w:pPr>
              <w:pStyle w:val="TableText"/>
              <w:ind w:left="119" w:right="129" w:hanging="5"/>
              <w:spacing w:before="25" w:line="224" w:lineRule="auto"/>
              <w:rPr/>
            </w:pPr>
            <w:r>
              <w:rPr>
                <w:spacing w:val="-1"/>
              </w:rPr>
              <w:t>将风险管理融入治理、战略、规划、</w:t>
            </w:r>
            <w:r>
              <w:rPr>
                <w:spacing w:val="-1"/>
              </w:rPr>
              <w:t>管理、报告、政策、价值观和文化中</w:t>
            </w:r>
          </w:p>
        </w:tc>
      </w:tr>
      <w:tr>
        <w:trPr>
          <w:trHeight w:val="705" w:hRule="atLeast"/>
        </w:trPr>
        <w:tc>
          <w:tcPr>
            <w:tcW w:w="3121" w:type="dxa"/>
            <w:vAlign w:val="top"/>
          </w:tcPr>
          <w:p>
            <w:pPr>
              <w:pStyle w:val="TableText"/>
              <w:ind w:left="939"/>
              <w:spacing w:before="259" w:line="220" w:lineRule="auto"/>
              <w:rPr/>
            </w:pPr>
            <w:r>
              <w:rPr>
                <w:spacing w:val="-2"/>
              </w:rPr>
              <w:t>结构化和全面性</w:t>
            </w:r>
          </w:p>
        </w:tc>
        <w:tc>
          <w:tcPr>
            <w:tcW w:w="3116" w:type="dxa"/>
            <w:vAlign w:val="top"/>
          </w:tcPr>
          <w:p>
            <w:pPr>
              <w:pStyle w:val="TableText"/>
              <w:ind w:left="117" w:right="123" w:hanging="4"/>
              <w:spacing w:before="25" w:line="229" w:lineRule="auto"/>
              <w:jc w:val="both"/>
              <w:rPr/>
            </w:pPr>
            <w:r>
              <w:rPr>
                <w:spacing w:val="-1"/>
              </w:rPr>
              <w:t>采用结构化和全面性的方法开展风险</w:t>
            </w:r>
            <w:r>
              <w:rPr>
                <w:spacing w:val="-1"/>
              </w:rPr>
              <w:t>管理，有助于获得一致和可比较的结</w:t>
            </w:r>
            <w:r>
              <w:rPr/>
              <w:t>果</w:t>
            </w:r>
          </w:p>
        </w:tc>
        <w:tc>
          <w:tcPr>
            <w:tcW w:w="3124" w:type="dxa"/>
            <w:vAlign w:val="top"/>
          </w:tcPr>
          <w:p>
            <w:pPr>
              <w:pStyle w:val="TableText"/>
              <w:ind w:left="119" w:right="129" w:hanging="2"/>
              <w:spacing w:before="140" w:line="244" w:lineRule="auto"/>
              <w:rPr/>
            </w:pPr>
            <w:r>
              <w:rPr>
                <w:spacing w:val="-1"/>
              </w:rPr>
              <w:t>风险管理覆盖所有层面和领域，方法</w:t>
            </w:r>
            <w:r>
              <w:rPr>
                <w:spacing w:val="-1"/>
              </w:rPr>
              <w:t>系统、协调，确保无重大遗漏</w:t>
            </w:r>
          </w:p>
        </w:tc>
      </w:tr>
      <w:tr>
        <w:trPr>
          <w:trHeight w:val="470" w:hRule="atLeast"/>
        </w:trPr>
        <w:tc>
          <w:tcPr>
            <w:tcW w:w="3121" w:type="dxa"/>
            <w:vAlign w:val="top"/>
          </w:tcPr>
          <w:p>
            <w:pPr>
              <w:pStyle w:val="TableText"/>
              <w:ind w:left="1299"/>
              <w:spacing w:before="142" w:line="220" w:lineRule="auto"/>
              <w:rPr/>
            </w:pPr>
            <w:r>
              <w:rPr>
                <w:spacing w:val="-3"/>
              </w:rPr>
              <w:t>定制化</w:t>
            </w:r>
          </w:p>
        </w:tc>
        <w:tc>
          <w:tcPr>
            <w:tcW w:w="3116" w:type="dxa"/>
            <w:vAlign w:val="top"/>
          </w:tcPr>
          <w:p>
            <w:pPr>
              <w:pStyle w:val="TableText"/>
              <w:ind w:left="148" w:right="123" w:hanging="33"/>
              <w:spacing w:before="27" w:line="222" w:lineRule="auto"/>
              <w:rPr/>
            </w:pPr>
            <w:r>
              <w:rPr>
                <w:spacing w:val="-1"/>
              </w:rPr>
              <w:t>风险管理框架和过程应根据组织及其</w:t>
            </w:r>
            <w:r>
              <w:rPr>
                <w:spacing w:val="-3"/>
              </w:rPr>
              <w:t>目标所处的内外部环境进行定制</w:t>
            </w:r>
          </w:p>
        </w:tc>
        <w:tc>
          <w:tcPr>
            <w:tcW w:w="3124" w:type="dxa"/>
            <w:vAlign w:val="top"/>
          </w:tcPr>
          <w:p>
            <w:pPr>
              <w:pStyle w:val="TableText"/>
              <w:ind w:left="122" w:right="155" w:hanging="7"/>
              <w:spacing w:before="27" w:line="222" w:lineRule="auto"/>
              <w:rPr/>
            </w:pPr>
            <w:r>
              <w:rPr>
                <w:spacing w:val="-3"/>
              </w:rPr>
              <w:t>框架和过程的设计契合组织的目标、</w:t>
            </w:r>
            <w:r>
              <w:rPr>
                <w:spacing w:val="-1"/>
              </w:rPr>
              <w:t>能力和外部环境，避免生搬硬套</w:t>
            </w:r>
          </w:p>
        </w:tc>
      </w:tr>
      <w:tr>
        <w:trPr>
          <w:trHeight w:val="472" w:hRule="atLeast"/>
        </w:trPr>
        <w:tc>
          <w:tcPr>
            <w:tcW w:w="3121" w:type="dxa"/>
            <w:vAlign w:val="top"/>
          </w:tcPr>
          <w:p>
            <w:pPr>
              <w:pStyle w:val="TableText"/>
              <w:ind w:left="1295"/>
              <w:spacing w:before="145" w:line="220" w:lineRule="auto"/>
              <w:rPr/>
            </w:pPr>
            <w:r>
              <w:rPr>
                <w:spacing w:val="-2"/>
              </w:rPr>
              <w:t>包容性</w:t>
            </w:r>
          </w:p>
        </w:tc>
        <w:tc>
          <w:tcPr>
            <w:tcW w:w="3116" w:type="dxa"/>
            <w:vAlign w:val="top"/>
          </w:tcPr>
          <w:p>
            <w:pPr>
              <w:pStyle w:val="TableText"/>
              <w:ind w:left="117" w:right="123" w:hanging="3"/>
              <w:spacing w:before="27" w:line="223" w:lineRule="auto"/>
              <w:rPr/>
            </w:pPr>
            <w:r>
              <w:rPr>
                <w:spacing w:val="-1"/>
              </w:rPr>
              <w:t>相关方的适当、及时参与，有助于其</w:t>
            </w:r>
            <w:r>
              <w:rPr>
                <w:spacing w:val="-1"/>
              </w:rPr>
              <w:t>知识、观点和认知得到充分考虑</w:t>
            </w:r>
          </w:p>
        </w:tc>
        <w:tc>
          <w:tcPr>
            <w:tcW w:w="3124" w:type="dxa"/>
            <w:vAlign w:val="top"/>
          </w:tcPr>
          <w:p>
            <w:pPr>
              <w:pStyle w:val="TableText"/>
              <w:ind w:left="117"/>
              <w:spacing w:before="27" w:line="220" w:lineRule="auto"/>
              <w:rPr/>
            </w:pPr>
            <w:r>
              <w:rPr>
                <w:spacing w:val="-1"/>
              </w:rPr>
              <w:t>识别并邀请相关方参与，尊重其观</w:t>
            </w:r>
          </w:p>
          <w:p>
            <w:pPr>
              <w:pStyle w:val="TableText"/>
              <w:ind w:left="125"/>
              <w:spacing w:before="21" w:line="204" w:lineRule="auto"/>
              <w:rPr/>
            </w:pPr>
            <w:r>
              <w:rPr>
                <w:spacing w:val="-1"/>
              </w:rPr>
              <w:t>点，促进沟通和理解，提升风险意识</w:t>
            </w:r>
          </w:p>
        </w:tc>
      </w:tr>
      <w:tr>
        <w:trPr>
          <w:trHeight w:val="472" w:hRule="atLeast"/>
        </w:trPr>
        <w:tc>
          <w:tcPr>
            <w:tcW w:w="3121" w:type="dxa"/>
            <w:vAlign w:val="top"/>
          </w:tcPr>
          <w:p>
            <w:pPr>
              <w:pStyle w:val="TableText"/>
              <w:ind w:left="1296"/>
              <w:spacing w:before="146" w:line="220" w:lineRule="auto"/>
              <w:rPr/>
            </w:pPr>
            <w:r>
              <w:rPr>
                <w:spacing w:val="-2"/>
              </w:rPr>
              <w:t>动态性</w:t>
            </w:r>
          </w:p>
        </w:tc>
        <w:tc>
          <w:tcPr>
            <w:tcW w:w="3116" w:type="dxa"/>
            <w:vAlign w:val="top"/>
          </w:tcPr>
          <w:p>
            <w:pPr>
              <w:pStyle w:val="TableText"/>
              <w:ind w:left="115" w:right="303"/>
              <w:spacing w:before="29" w:line="222" w:lineRule="auto"/>
              <w:rPr/>
            </w:pPr>
            <w:r>
              <w:rPr>
                <w:spacing w:val="-1"/>
              </w:rPr>
              <w:t>风险管理应以适当、及时的方式预</w:t>
            </w:r>
            <w:r>
              <w:rPr>
                <w:spacing w:val="-1"/>
              </w:rPr>
              <w:t>测、发现、确认和应对变化和事件</w:t>
            </w:r>
          </w:p>
        </w:tc>
        <w:tc>
          <w:tcPr>
            <w:tcW w:w="3124" w:type="dxa"/>
            <w:vAlign w:val="top"/>
          </w:tcPr>
          <w:p>
            <w:pPr>
              <w:pStyle w:val="TableText"/>
              <w:ind w:left="117" w:right="129" w:firstLine="1"/>
              <w:spacing w:before="29" w:line="222" w:lineRule="auto"/>
              <w:rPr/>
            </w:pPr>
            <w:r>
              <w:rPr>
                <w:spacing w:val="-1"/>
              </w:rPr>
              <w:t>持续感知内外部环境变化，及时识别</w:t>
            </w:r>
            <w:r>
              <w:rPr>
                <w:spacing w:val="-1"/>
              </w:rPr>
              <w:t>新风险及变化中的风险</w:t>
            </w:r>
          </w:p>
        </w:tc>
      </w:tr>
      <w:tr>
        <w:trPr>
          <w:trHeight w:val="704" w:hRule="atLeast"/>
        </w:trPr>
        <w:tc>
          <w:tcPr>
            <w:tcW w:w="3121" w:type="dxa"/>
            <w:vAlign w:val="top"/>
          </w:tcPr>
          <w:p>
            <w:pPr>
              <w:pStyle w:val="TableText"/>
              <w:ind w:left="1026"/>
              <w:spacing w:before="261" w:line="219" w:lineRule="auto"/>
              <w:rPr/>
            </w:pPr>
            <w:r>
              <w:rPr>
                <w:spacing w:val="-2"/>
              </w:rPr>
              <w:t>最佳可用信息</w:t>
            </w:r>
          </w:p>
        </w:tc>
        <w:tc>
          <w:tcPr>
            <w:tcW w:w="3116" w:type="dxa"/>
            <w:vAlign w:val="top"/>
          </w:tcPr>
          <w:p>
            <w:pPr>
              <w:pStyle w:val="TableText"/>
              <w:ind w:left="114" w:right="123"/>
              <w:spacing w:before="30" w:line="227" w:lineRule="auto"/>
              <w:jc w:val="both"/>
              <w:rPr/>
            </w:pPr>
            <w:r>
              <w:rPr>
                <w:spacing w:val="-1"/>
              </w:rPr>
              <w:t>风险管理的输入信息应基于历史、当</w:t>
            </w:r>
            <w:r>
              <w:rPr>
                <w:spacing w:val="-1"/>
              </w:rPr>
              <w:t>前和未来预期，并考虑其局限性和不</w:t>
            </w:r>
            <w:r>
              <w:rPr>
                <w:spacing w:val="-2"/>
              </w:rPr>
              <w:t>确定性</w:t>
            </w:r>
          </w:p>
        </w:tc>
        <w:tc>
          <w:tcPr>
            <w:tcW w:w="3124" w:type="dxa"/>
            <w:vAlign w:val="top"/>
          </w:tcPr>
          <w:p>
            <w:pPr>
              <w:pStyle w:val="TableText"/>
              <w:ind w:left="117" w:right="129" w:hanging="1"/>
              <w:spacing w:before="30" w:line="227" w:lineRule="auto"/>
              <w:jc w:val="both"/>
              <w:rPr/>
            </w:pPr>
            <w:r>
              <w:rPr>
                <w:spacing w:val="-1"/>
              </w:rPr>
              <w:t>确保信息及时、清晰、可靠；明确信</w:t>
            </w:r>
            <w:r>
              <w:rPr>
                <w:spacing w:val="-1"/>
              </w:rPr>
              <w:t>息差距和不确定性；运用专家判断和</w:t>
            </w:r>
            <w:r>
              <w:rPr>
                <w:spacing w:val="-3"/>
              </w:rPr>
              <w:t>经验</w:t>
            </w:r>
          </w:p>
        </w:tc>
      </w:tr>
      <w:tr>
        <w:trPr>
          <w:trHeight w:val="470" w:hRule="atLeast"/>
        </w:trPr>
        <w:tc>
          <w:tcPr>
            <w:tcW w:w="3121" w:type="dxa"/>
            <w:vAlign w:val="top"/>
          </w:tcPr>
          <w:p>
            <w:pPr>
              <w:pStyle w:val="TableText"/>
              <w:ind w:left="1025"/>
              <w:spacing w:before="144" w:line="220" w:lineRule="auto"/>
              <w:rPr/>
            </w:pPr>
            <w:r>
              <w:rPr>
                <w:spacing w:val="-2"/>
              </w:rPr>
              <w:t>人和文化因素</w:t>
            </w:r>
          </w:p>
        </w:tc>
        <w:tc>
          <w:tcPr>
            <w:tcW w:w="3116" w:type="dxa"/>
            <w:vAlign w:val="top"/>
          </w:tcPr>
          <w:p>
            <w:pPr>
              <w:pStyle w:val="TableText"/>
              <w:ind w:left="116" w:right="123" w:hanging="1"/>
              <w:spacing w:before="30" w:line="220" w:lineRule="auto"/>
              <w:rPr/>
            </w:pPr>
            <w:r>
              <w:rPr>
                <w:spacing w:val="-1"/>
              </w:rPr>
              <w:t>人的行为和文化在各个层级和阶段显</w:t>
            </w:r>
            <w:r>
              <w:rPr>
                <w:spacing w:val="-1"/>
              </w:rPr>
              <w:t>著影响着风险管理的各个方面</w:t>
            </w:r>
          </w:p>
        </w:tc>
        <w:tc>
          <w:tcPr>
            <w:tcW w:w="3124" w:type="dxa"/>
            <w:vAlign w:val="top"/>
          </w:tcPr>
          <w:p>
            <w:pPr>
              <w:pStyle w:val="TableText"/>
              <w:ind w:left="125" w:right="309" w:hanging="9"/>
              <w:spacing w:before="30" w:line="220" w:lineRule="auto"/>
              <w:rPr/>
            </w:pPr>
            <w:r>
              <w:rPr>
                <w:spacing w:val="-1"/>
              </w:rPr>
              <w:t>认识认知、偏见、文化对决策的影</w:t>
            </w:r>
            <w:r>
              <w:rPr>
                <w:spacing w:val="-2"/>
              </w:rPr>
              <w:t>响；培育良好的风险管理文化</w:t>
            </w:r>
          </w:p>
        </w:tc>
      </w:tr>
      <w:tr>
        <w:trPr>
          <w:trHeight w:val="477" w:hRule="atLeast"/>
        </w:trPr>
        <w:tc>
          <w:tcPr>
            <w:tcW w:w="3121" w:type="dxa"/>
            <w:vAlign w:val="top"/>
          </w:tcPr>
          <w:p>
            <w:pPr>
              <w:pStyle w:val="TableText"/>
              <w:ind w:left="1206"/>
              <w:spacing w:before="147" w:line="220" w:lineRule="auto"/>
              <w:rPr/>
            </w:pPr>
            <w:r>
              <w:rPr>
                <w:spacing w:val="-2"/>
              </w:rPr>
              <w:t>持续改进</w:t>
            </w:r>
          </w:p>
        </w:tc>
        <w:tc>
          <w:tcPr>
            <w:tcW w:w="3116" w:type="dxa"/>
            <w:vAlign w:val="top"/>
          </w:tcPr>
          <w:p>
            <w:pPr>
              <w:pStyle w:val="TableText"/>
              <w:ind w:left="118" w:right="123" w:hanging="4"/>
              <w:spacing w:before="30" w:line="224" w:lineRule="auto"/>
              <w:rPr/>
            </w:pPr>
            <w:r>
              <w:rPr>
                <w:spacing w:val="-1"/>
              </w:rPr>
              <w:t>通过不断学习和实践，持续改进风险</w:t>
            </w:r>
            <w:r>
              <w:rPr>
                <w:spacing w:val="-3"/>
              </w:rPr>
              <w:t>管理</w:t>
            </w:r>
          </w:p>
        </w:tc>
        <w:tc>
          <w:tcPr>
            <w:tcW w:w="3124" w:type="dxa"/>
            <w:vAlign w:val="top"/>
          </w:tcPr>
          <w:p>
            <w:pPr>
              <w:pStyle w:val="TableText"/>
              <w:ind w:left="125" w:right="129" w:hanging="9"/>
              <w:spacing w:before="30" w:line="224" w:lineRule="auto"/>
              <w:rPr/>
            </w:pPr>
            <w:r>
              <w:rPr>
                <w:spacing w:val="-1"/>
              </w:rPr>
              <w:t>基于监测、评审和评估，持续优化风</w:t>
            </w:r>
            <w:r>
              <w:rPr>
                <w:spacing w:val="-2"/>
              </w:rPr>
              <w:t>险管理框架、过程和结果</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八项原则相互关联、相互支持，共同构成有效风险管</w:t>
      </w:r>
      <w:r>
        <w:rPr>
          <w:rFonts w:ascii="SimSun" w:hAnsi="SimSun" w:eastAsia="SimSun" w:cs="SimSun"/>
          <w:sz w:val="18"/>
          <w:szCs w:val="18"/>
          <w:spacing w:val="-2"/>
        </w:rPr>
        <w:t>理的基础。</w:t>
      </w:r>
    </w:p>
    <w:p>
      <w:pPr>
        <w:spacing w:line="219" w:lineRule="auto"/>
        <w:sectPr>
          <w:headerReference w:type="default" r:id="rId26"/>
          <w:footerReference w:type="default" r:id="rId27"/>
          <w:pgSz w:w="11907" w:h="16839"/>
          <w:pgMar w:top="1028" w:right="1128" w:bottom="880" w:left="1411" w:header="703" w:footer="678" w:gutter="0"/>
        </w:sectPr>
        <w:rPr>
          <w:rFonts w:ascii="SimSun" w:hAnsi="SimSun" w:eastAsia="SimSun" w:cs="SimSun"/>
          <w:sz w:val="18"/>
          <w:szCs w:val="18"/>
        </w:rPr>
      </w:pPr>
    </w:p>
    <w:p>
      <w:pPr>
        <w:ind w:left="4395"/>
        <w:spacing w:before="135" w:line="220" w:lineRule="auto"/>
        <w:outlineLvl w:val="0"/>
        <w:rPr>
          <w:rFonts w:ascii="Times New Roman" w:hAnsi="Times New Roman" w:eastAsia="Times New Roman" w:cs="Times New Roman"/>
          <w:sz w:val="21"/>
          <w:szCs w:val="21"/>
        </w:rPr>
      </w:pPr>
      <w:bookmarkStart w:name="bookmark40" w:id="44"/>
      <w:bookmarkEnd w:id="44"/>
      <w:r>
        <w:rPr>
          <w:rFonts w:ascii="SimHei" w:hAnsi="SimHei" w:eastAsia="SimHei" w:cs="SimHei"/>
          <w:sz w:val="21"/>
          <w:szCs w:val="21"/>
          <w:spacing w:val="-6"/>
        </w:rPr>
        <w:t>附录</w:t>
      </w:r>
      <w:r>
        <w:rPr>
          <w:rFonts w:ascii="SimHei" w:hAnsi="SimHei" w:eastAsia="SimHei" w:cs="SimHei"/>
          <w:sz w:val="21"/>
          <w:szCs w:val="21"/>
          <w:spacing w:val="-51"/>
        </w:rPr>
        <w:t xml:space="preserve"> </w:t>
      </w:r>
      <w:r>
        <w:rPr>
          <w:rFonts w:ascii="Times New Roman" w:hAnsi="Times New Roman" w:eastAsia="Times New Roman" w:cs="Times New Roman"/>
          <w:sz w:val="21"/>
          <w:szCs w:val="21"/>
          <w:spacing w:val="-6"/>
        </w:rPr>
        <w:t>B</w:t>
      </w:r>
    </w:p>
    <w:p>
      <w:pPr>
        <w:ind w:left="4180"/>
        <w:spacing w:before="105" w:line="220" w:lineRule="auto"/>
        <w:outlineLvl w:val="0"/>
        <w:rPr>
          <w:rFonts w:ascii="SimHei" w:hAnsi="SimHei" w:eastAsia="SimHei" w:cs="SimHei"/>
          <w:sz w:val="21"/>
          <w:szCs w:val="21"/>
        </w:rPr>
      </w:pPr>
      <w:bookmarkStart w:name="bookmark40" w:id="45"/>
      <w:bookmarkEnd w:id="45"/>
      <w:r>
        <w:rPr>
          <w:rFonts w:ascii="SimHei" w:hAnsi="SimHei" w:eastAsia="SimHei" w:cs="SimHei"/>
          <w:sz w:val="21"/>
          <w:szCs w:val="21"/>
          <w:spacing w:val="-7"/>
        </w:rPr>
        <w:t>（资料性）</w:t>
      </w:r>
    </w:p>
    <w:p>
      <w:pPr>
        <w:ind w:left="3429"/>
        <w:spacing w:before="104" w:line="220" w:lineRule="auto"/>
        <w:outlineLvl w:val="0"/>
        <w:rPr>
          <w:rFonts w:ascii="SimHei" w:hAnsi="SimHei" w:eastAsia="SimHei" w:cs="SimHei"/>
          <w:sz w:val="21"/>
          <w:szCs w:val="21"/>
        </w:rPr>
      </w:pPr>
      <w:bookmarkStart w:name="bookmark40" w:id="46"/>
      <w:bookmarkEnd w:id="46"/>
      <w:r>
        <w:rPr>
          <w:rFonts w:ascii="SimHei" w:hAnsi="SimHei" w:eastAsia="SimHei" w:cs="SimHei"/>
          <w:sz w:val="21"/>
          <w:szCs w:val="21"/>
          <w:spacing w:val="-1"/>
        </w:rPr>
        <w:t>风险管理常用技术工具示例</w:t>
      </w:r>
    </w:p>
    <w:p>
      <w:pPr>
        <w:ind w:left="435"/>
        <w:spacing w:before="300" w:line="234" w:lineRule="auto"/>
        <w:rPr>
          <w:rFonts w:ascii="SimSun" w:hAnsi="SimSun" w:eastAsia="SimSun" w:cs="SimSun"/>
          <w:sz w:val="21"/>
          <w:szCs w:val="21"/>
        </w:rPr>
      </w:pPr>
      <w:r>
        <w:rPr>
          <w:rFonts w:ascii="SimSun" w:hAnsi="SimSun" w:eastAsia="SimSun" w:cs="SimSun"/>
          <w:sz w:val="21"/>
          <w:szCs w:val="21"/>
          <w:spacing w:val="-1"/>
        </w:rPr>
        <w:t>组织可参照表</w:t>
      </w:r>
      <w:r>
        <w:rPr>
          <w:rFonts w:ascii="SimSun" w:hAnsi="SimSun" w:eastAsia="SimSun" w:cs="SimSun"/>
          <w:sz w:val="21"/>
          <w:szCs w:val="21"/>
          <w:spacing w:val="-51"/>
        </w:rPr>
        <w:t xml:space="preserve"> </w:t>
      </w:r>
      <w:r>
        <w:rPr>
          <w:rFonts w:ascii="Times New Roman" w:hAnsi="Times New Roman" w:eastAsia="Times New Roman" w:cs="Times New Roman"/>
          <w:sz w:val="21"/>
          <w:szCs w:val="21"/>
          <w:spacing w:val="-1"/>
        </w:rPr>
        <w:t>B.1 </w:t>
      </w:r>
      <w:r>
        <w:rPr>
          <w:rFonts w:ascii="SimSun" w:hAnsi="SimSun" w:eastAsia="SimSun" w:cs="SimSun"/>
          <w:sz w:val="21"/>
          <w:szCs w:val="21"/>
          <w:spacing w:val="-1"/>
        </w:rPr>
        <w:t>选择和应用风险管理各阶段常用的技术与</w:t>
      </w:r>
      <w:r>
        <w:rPr>
          <w:rFonts w:ascii="SimSun" w:hAnsi="SimSun" w:eastAsia="SimSun" w:cs="SimSun"/>
          <w:sz w:val="21"/>
          <w:szCs w:val="21"/>
          <w:spacing w:val="-2"/>
        </w:rPr>
        <w:t>工具。</w:t>
      </w:r>
    </w:p>
    <w:p>
      <w:pPr>
        <w:pStyle w:val="BodyText"/>
        <w:spacing w:line="242" w:lineRule="auto"/>
        <w:rPr/>
      </w:pPr>
      <w:r/>
    </w:p>
    <w:p>
      <w:pPr>
        <w:ind w:left="3348"/>
        <w:spacing w:before="58" w:line="233" w:lineRule="auto"/>
        <w:rPr>
          <w:rFonts w:ascii="SimHei" w:hAnsi="SimHei" w:eastAsia="SimHei" w:cs="SimHei"/>
          <w:sz w:val="18"/>
          <w:szCs w:val="18"/>
        </w:rPr>
      </w:pPr>
      <w:r>
        <w:rPr>
          <w:rFonts w:ascii="SimHei" w:hAnsi="SimHei" w:eastAsia="SimHei" w:cs="SimHei"/>
          <w:sz w:val="18"/>
          <w:szCs w:val="18"/>
          <w:spacing w:val="-1"/>
        </w:rPr>
        <w:t>表</w:t>
      </w:r>
      <w:r>
        <w:rPr>
          <w:rFonts w:ascii="SimHei" w:hAnsi="SimHei" w:eastAsia="SimHei" w:cs="SimHei"/>
          <w:sz w:val="18"/>
          <w:szCs w:val="18"/>
          <w:spacing w:val="-38"/>
        </w:rPr>
        <w:t xml:space="preserve"> </w:t>
      </w:r>
      <w:r>
        <w:rPr>
          <w:rFonts w:ascii="Times New Roman" w:hAnsi="Times New Roman" w:eastAsia="Times New Roman" w:cs="Times New Roman"/>
          <w:sz w:val="18"/>
          <w:szCs w:val="18"/>
          <w:spacing w:val="-1"/>
        </w:rPr>
        <w:t>B.1 </w:t>
      </w:r>
      <w:r>
        <w:rPr>
          <w:rFonts w:ascii="SimHei" w:hAnsi="SimHei" w:eastAsia="SimHei" w:cs="SimHei"/>
          <w:sz w:val="18"/>
          <w:szCs w:val="18"/>
          <w:spacing w:val="-1"/>
        </w:rPr>
        <w:t>风险管理常用技术工具示例</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204"/>
              <w:spacing w:before="32" w:line="207" w:lineRule="auto"/>
              <w:rPr>
                <w:rFonts w:ascii="SimHei" w:hAnsi="SimHei" w:eastAsia="SimHei" w:cs="SimHei"/>
                <w:sz w:val="18"/>
                <w:szCs w:val="18"/>
              </w:rPr>
            </w:pPr>
            <w:r>
              <w:rPr>
                <w:rFonts w:ascii="SimHei" w:hAnsi="SimHei" w:eastAsia="SimHei" w:cs="SimHei"/>
                <w:sz w:val="18"/>
                <w:szCs w:val="18"/>
                <w:spacing w:val="-2"/>
              </w:rPr>
              <w:t>过程阶段</w:t>
            </w:r>
          </w:p>
        </w:tc>
        <w:tc>
          <w:tcPr>
            <w:tcW w:w="3116" w:type="dxa"/>
            <w:vAlign w:val="top"/>
          </w:tcPr>
          <w:p>
            <w:pPr>
              <w:ind w:left="1002"/>
              <w:spacing w:before="32" w:line="207" w:lineRule="auto"/>
              <w:rPr>
                <w:rFonts w:ascii="SimHei" w:hAnsi="SimHei" w:eastAsia="SimHei" w:cs="SimHei"/>
                <w:sz w:val="18"/>
                <w:szCs w:val="18"/>
              </w:rPr>
            </w:pPr>
            <w:r>
              <w:rPr>
                <w:rFonts w:ascii="SimHei" w:hAnsi="SimHei" w:eastAsia="SimHei" w:cs="SimHei"/>
                <w:sz w:val="18"/>
                <w:szCs w:val="18"/>
                <w:spacing w:val="-2"/>
              </w:rPr>
              <w:t>可选技术</w:t>
            </w:r>
            <w:r>
              <w:rPr>
                <w:rFonts w:ascii="Times New Roman" w:hAnsi="Times New Roman" w:eastAsia="Times New Roman" w:cs="Times New Roman"/>
                <w:sz w:val="18"/>
                <w:szCs w:val="18"/>
                <w:spacing w:val="-2"/>
              </w:rPr>
              <w:t>/</w:t>
            </w:r>
            <w:r>
              <w:rPr>
                <w:rFonts w:ascii="SimHei" w:hAnsi="SimHei" w:eastAsia="SimHei" w:cs="SimHei"/>
                <w:sz w:val="18"/>
                <w:szCs w:val="18"/>
                <w:spacing w:val="-2"/>
              </w:rPr>
              <w:t>工具</w:t>
            </w:r>
          </w:p>
        </w:tc>
        <w:tc>
          <w:tcPr>
            <w:tcW w:w="3124" w:type="dxa"/>
            <w:vAlign w:val="top"/>
          </w:tcPr>
          <w:p>
            <w:pPr>
              <w:ind w:left="1210"/>
              <w:spacing w:before="32" w:line="207" w:lineRule="auto"/>
              <w:rPr>
                <w:rFonts w:ascii="SimHei" w:hAnsi="SimHei" w:eastAsia="SimHei" w:cs="SimHei"/>
                <w:sz w:val="18"/>
                <w:szCs w:val="18"/>
              </w:rPr>
            </w:pPr>
            <w:r>
              <w:rPr>
                <w:rFonts w:ascii="SimHei" w:hAnsi="SimHei" w:eastAsia="SimHei" w:cs="SimHei"/>
                <w:sz w:val="18"/>
                <w:szCs w:val="18"/>
                <w:spacing w:val="-3"/>
              </w:rPr>
              <w:t>简要说明</w:t>
            </w:r>
          </w:p>
        </w:tc>
      </w:tr>
      <w:tr>
        <w:trPr>
          <w:trHeight w:val="472" w:hRule="atLeast"/>
        </w:trPr>
        <w:tc>
          <w:tcPr>
            <w:tcW w:w="3121" w:type="dxa"/>
            <w:vAlign w:val="top"/>
          </w:tcPr>
          <w:p>
            <w:pPr>
              <w:pStyle w:val="TableText"/>
              <w:ind w:left="1206"/>
              <w:spacing w:before="143" w:line="220" w:lineRule="auto"/>
              <w:rPr/>
            </w:pPr>
            <w:r>
              <w:rPr>
                <w:spacing w:val="-2"/>
              </w:rPr>
              <w:t>建立环境</w:t>
            </w:r>
          </w:p>
        </w:tc>
        <w:tc>
          <w:tcPr>
            <w:tcW w:w="3116" w:type="dxa"/>
            <w:vAlign w:val="top"/>
          </w:tcPr>
          <w:p>
            <w:pPr>
              <w:pStyle w:val="TableText"/>
              <w:ind w:left="116" w:right="161" w:hanging="6"/>
              <w:spacing w:before="25" w:line="224" w:lineRule="auto"/>
              <w:rPr/>
            </w:pPr>
            <w:r>
              <w:rPr>
                <w:rFonts w:ascii="Times New Roman" w:hAnsi="Times New Roman" w:eastAsia="Times New Roman" w:cs="Times New Roman"/>
                <w:spacing w:val="-1"/>
              </w:rPr>
              <w:t>PESTLE </w:t>
            </w:r>
            <w:r>
              <w:rPr>
                <w:spacing w:val="-1"/>
              </w:rPr>
              <w:t>分析、</w:t>
            </w:r>
            <w:r>
              <w:rPr>
                <w:rFonts w:ascii="Times New Roman" w:hAnsi="Times New Roman" w:eastAsia="Times New Roman" w:cs="Times New Roman"/>
                <w:spacing w:val="-1"/>
              </w:rPr>
              <w:t>SWOT </w:t>
            </w:r>
            <w:r>
              <w:rPr>
                <w:spacing w:val="-1"/>
              </w:rPr>
              <w:t>分析、利益相</w:t>
            </w:r>
            <w:r>
              <w:rPr>
                <w:spacing w:val="-2"/>
              </w:rPr>
              <w:t>关者映射</w:t>
            </w:r>
          </w:p>
        </w:tc>
        <w:tc>
          <w:tcPr>
            <w:tcW w:w="3124" w:type="dxa"/>
            <w:vAlign w:val="top"/>
          </w:tcPr>
          <w:p>
            <w:pPr>
              <w:pStyle w:val="TableText"/>
              <w:ind w:left="117" w:right="129" w:firstLine="1"/>
              <w:spacing w:before="25" w:line="224" w:lineRule="auto"/>
              <w:rPr/>
            </w:pPr>
            <w:r>
              <w:rPr>
                <w:spacing w:val="-1"/>
              </w:rPr>
              <w:t>分析内外部环境，识别关键影响因素</w:t>
            </w:r>
            <w:r>
              <w:rPr>
                <w:spacing w:val="-2"/>
              </w:rPr>
              <w:t>和利益相关方</w:t>
            </w:r>
          </w:p>
        </w:tc>
      </w:tr>
      <w:tr>
        <w:trPr>
          <w:trHeight w:val="704" w:hRule="atLeast"/>
        </w:trPr>
        <w:tc>
          <w:tcPr>
            <w:tcW w:w="3121" w:type="dxa"/>
            <w:vAlign w:val="top"/>
          </w:tcPr>
          <w:p>
            <w:pPr>
              <w:pStyle w:val="TableText"/>
              <w:ind w:left="1205"/>
              <w:spacing w:before="259" w:line="220" w:lineRule="auto"/>
              <w:rPr/>
            </w:pPr>
            <w:r>
              <w:rPr>
                <w:spacing w:val="-2"/>
              </w:rPr>
              <w:t>风险识别</w:t>
            </w:r>
          </w:p>
        </w:tc>
        <w:tc>
          <w:tcPr>
            <w:tcW w:w="3116" w:type="dxa"/>
            <w:vAlign w:val="top"/>
          </w:tcPr>
          <w:p>
            <w:pPr>
              <w:pStyle w:val="TableText"/>
              <w:ind w:left="116" w:right="123"/>
              <w:spacing w:before="25" w:line="239" w:lineRule="auto"/>
              <w:rPr/>
            </w:pPr>
            <w:r>
              <w:rPr>
                <w:spacing w:val="-1"/>
              </w:rPr>
              <w:t>头脑风暴、德尔菲法、访谈、问卷调</w:t>
            </w:r>
            <w:r>
              <w:rPr>
                <w:spacing w:val="-2"/>
              </w:rPr>
              <w:t>查、检查表、</w:t>
            </w:r>
            <w:r>
              <w:rPr>
                <w:rFonts w:ascii="Times New Roman" w:hAnsi="Times New Roman" w:eastAsia="Times New Roman" w:cs="Times New Roman"/>
                <w:spacing w:val="-2"/>
              </w:rPr>
              <w:t>HAZOP</w:t>
            </w:r>
            <w:r>
              <w:rPr>
                <w:spacing w:val="-2"/>
              </w:rPr>
              <w:t>、情景分析、</w:t>
            </w:r>
          </w:p>
          <w:p>
            <w:pPr>
              <w:pStyle w:val="TableText"/>
              <w:ind w:left="117"/>
              <w:spacing w:line="207" w:lineRule="auto"/>
              <w:rPr/>
            </w:pPr>
            <w:r>
              <w:rPr>
                <w:spacing w:val="-1"/>
              </w:rPr>
              <w:t>故障树分析（</w:t>
            </w:r>
            <w:r>
              <w:rPr>
                <w:rFonts w:ascii="Times New Roman" w:hAnsi="Times New Roman" w:eastAsia="Times New Roman" w:cs="Times New Roman"/>
                <w:spacing w:val="-1"/>
              </w:rPr>
              <w:t>FTA</w:t>
            </w:r>
            <w:r>
              <w:rPr>
                <w:spacing w:val="-1"/>
              </w:rPr>
              <w:t>）、流程图分析</w:t>
            </w:r>
          </w:p>
        </w:tc>
        <w:tc>
          <w:tcPr>
            <w:tcW w:w="3124" w:type="dxa"/>
            <w:vAlign w:val="top"/>
          </w:tcPr>
          <w:p>
            <w:pPr>
              <w:pStyle w:val="TableText"/>
              <w:ind w:left="669"/>
              <w:spacing w:before="259" w:line="220" w:lineRule="auto"/>
              <w:rPr/>
            </w:pPr>
            <w:r>
              <w:rPr>
                <w:spacing w:val="-1"/>
              </w:rPr>
              <w:t>系统地发现和描述风险</w:t>
            </w:r>
          </w:p>
        </w:tc>
      </w:tr>
      <w:tr>
        <w:trPr>
          <w:trHeight w:val="705" w:hRule="atLeast"/>
        </w:trPr>
        <w:tc>
          <w:tcPr>
            <w:tcW w:w="3121" w:type="dxa"/>
            <w:vAlign w:val="top"/>
          </w:tcPr>
          <w:p>
            <w:pPr>
              <w:pStyle w:val="TableText"/>
              <w:ind w:left="1205"/>
              <w:spacing w:before="261" w:line="220" w:lineRule="auto"/>
              <w:rPr/>
            </w:pPr>
            <w:r>
              <w:rPr>
                <w:spacing w:val="-2"/>
              </w:rPr>
              <w:t>风险分析</w:t>
            </w:r>
          </w:p>
        </w:tc>
        <w:tc>
          <w:tcPr>
            <w:tcW w:w="3116" w:type="dxa"/>
            <w:vAlign w:val="top"/>
          </w:tcPr>
          <w:p>
            <w:pPr>
              <w:pStyle w:val="TableText"/>
              <w:ind w:left="116" w:right="132" w:hanging="1"/>
              <w:spacing w:before="28" w:line="228" w:lineRule="auto"/>
              <w:jc w:val="both"/>
              <w:rPr/>
            </w:pPr>
            <w:r>
              <w:rPr>
                <w:spacing w:val="-1"/>
              </w:rPr>
              <w:t>风险矩阵、层次分析法（</w:t>
            </w:r>
            <w:r>
              <w:rPr>
                <w:rFonts w:ascii="Times New Roman" w:hAnsi="Times New Roman" w:eastAsia="Times New Roman" w:cs="Times New Roman"/>
                <w:spacing w:val="-1"/>
              </w:rPr>
              <w:t>AHP</w:t>
            </w:r>
            <w:r>
              <w:rPr>
                <w:spacing w:val="-1"/>
              </w:rPr>
              <w:t>）、失</w:t>
            </w:r>
            <w:r>
              <w:rPr>
                <w:spacing w:val="-2"/>
              </w:rPr>
              <w:t>效模式与影响分析（</w:t>
            </w:r>
            <w:r>
              <w:rPr>
                <w:rFonts w:ascii="Times New Roman" w:hAnsi="Times New Roman" w:eastAsia="Times New Roman" w:cs="Times New Roman"/>
                <w:spacing w:val="-2"/>
              </w:rPr>
              <w:t>FMEA</w:t>
            </w:r>
            <w:r>
              <w:rPr>
                <w:spacing w:val="-2"/>
              </w:rPr>
              <w:t>）、根因</w:t>
            </w:r>
            <w:r>
              <w:rPr>
                <w:spacing w:val="-1"/>
              </w:rPr>
              <w:t>分析、蒙特卡罗模拟、敏感性分析</w:t>
            </w:r>
          </w:p>
        </w:tc>
        <w:tc>
          <w:tcPr>
            <w:tcW w:w="3124" w:type="dxa"/>
            <w:vAlign w:val="top"/>
          </w:tcPr>
          <w:p>
            <w:pPr>
              <w:pStyle w:val="TableText"/>
              <w:ind w:left="117" w:right="129" w:hanging="2"/>
              <w:spacing w:before="144" w:line="243" w:lineRule="auto"/>
              <w:rPr/>
            </w:pPr>
            <w:r>
              <w:rPr>
                <w:spacing w:val="-1"/>
              </w:rPr>
              <w:t>评估风险的可能性和后果，确定风险</w:t>
            </w:r>
            <w:r>
              <w:rPr>
                <w:spacing w:val="-3"/>
              </w:rPr>
              <w:t>等级</w:t>
            </w:r>
          </w:p>
        </w:tc>
      </w:tr>
      <w:tr>
        <w:trPr>
          <w:trHeight w:val="469" w:hRule="atLeast"/>
        </w:trPr>
        <w:tc>
          <w:tcPr>
            <w:tcW w:w="3121" w:type="dxa"/>
            <w:vAlign w:val="top"/>
          </w:tcPr>
          <w:p>
            <w:pPr>
              <w:pStyle w:val="TableText"/>
              <w:ind w:left="1205"/>
              <w:spacing w:before="144" w:line="218" w:lineRule="auto"/>
              <w:rPr/>
            </w:pPr>
            <w:r>
              <w:rPr>
                <w:spacing w:val="-2"/>
              </w:rPr>
              <w:t>风险评价</w:t>
            </w:r>
          </w:p>
        </w:tc>
        <w:tc>
          <w:tcPr>
            <w:tcW w:w="3116" w:type="dxa"/>
            <w:vAlign w:val="top"/>
          </w:tcPr>
          <w:p>
            <w:pPr>
              <w:pStyle w:val="TableText"/>
              <w:ind w:left="115" w:right="303"/>
              <w:spacing w:before="28" w:line="221" w:lineRule="auto"/>
              <w:rPr/>
            </w:pPr>
            <w:r>
              <w:rPr>
                <w:spacing w:val="-1"/>
              </w:rPr>
              <w:t>风险矩阵、成本效益分析、风险指</w:t>
            </w:r>
            <w:r>
              <w:rPr>
                <w:spacing w:val="-1"/>
              </w:rPr>
              <w:t>数、多标准决策分析（</w:t>
            </w:r>
            <w:r>
              <w:rPr>
                <w:rFonts w:ascii="Times New Roman" w:hAnsi="Times New Roman" w:eastAsia="Times New Roman" w:cs="Times New Roman"/>
                <w:spacing w:val="-1"/>
              </w:rPr>
              <w:t>MCDA</w:t>
            </w:r>
            <w:r>
              <w:rPr>
                <w:spacing w:val="-1"/>
              </w:rPr>
              <w:t>）</w:t>
            </w:r>
          </w:p>
        </w:tc>
        <w:tc>
          <w:tcPr>
            <w:tcW w:w="3124" w:type="dxa"/>
            <w:vAlign w:val="top"/>
          </w:tcPr>
          <w:p>
            <w:pPr>
              <w:pStyle w:val="TableText"/>
              <w:ind w:left="119" w:right="129" w:hanging="5"/>
              <w:spacing w:before="28" w:line="221" w:lineRule="auto"/>
              <w:rPr/>
            </w:pPr>
            <w:r>
              <w:rPr>
                <w:spacing w:val="-1"/>
              </w:rPr>
              <w:t>将风险分析结果与准则比较，确定优</w:t>
            </w:r>
            <w:r>
              <w:rPr>
                <w:spacing w:val="-3"/>
              </w:rPr>
              <w:t>先级</w:t>
            </w:r>
          </w:p>
        </w:tc>
      </w:tr>
      <w:tr>
        <w:trPr>
          <w:trHeight w:val="472" w:hRule="atLeast"/>
        </w:trPr>
        <w:tc>
          <w:tcPr>
            <w:tcW w:w="3121" w:type="dxa"/>
            <w:vAlign w:val="top"/>
          </w:tcPr>
          <w:p>
            <w:pPr>
              <w:pStyle w:val="TableText"/>
              <w:ind w:left="1205"/>
              <w:spacing w:before="147" w:line="220" w:lineRule="auto"/>
              <w:rPr/>
            </w:pPr>
            <w:r>
              <w:rPr>
                <w:spacing w:val="-2"/>
              </w:rPr>
              <w:t>风险应对</w:t>
            </w:r>
          </w:p>
        </w:tc>
        <w:tc>
          <w:tcPr>
            <w:tcW w:w="3116" w:type="dxa"/>
            <w:vAlign w:val="top"/>
          </w:tcPr>
          <w:p>
            <w:pPr>
              <w:pStyle w:val="TableText"/>
              <w:ind w:left="113" w:right="303" w:firstLine="1"/>
              <w:spacing w:before="29" w:line="222" w:lineRule="auto"/>
              <w:rPr/>
            </w:pPr>
            <w:r>
              <w:rPr>
                <w:spacing w:val="-1"/>
              </w:rPr>
              <w:t>风险应对策略矩阵、风险处理计划</w:t>
            </w:r>
            <w:r>
              <w:rPr>
                <w:spacing w:val="-1"/>
              </w:rPr>
              <w:t>表、成本效益分析</w:t>
            </w:r>
          </w:p>
        </w:tc>
        <w:tc>
          <w:tcPr>
            <w:tcW w:w="3124" w:type="dxa"/>
            <w:vAlign w:val="top"/>
          </w:tcPr>
          <w:p>
            <w:pPr>
              <w:pStyle w:val="TableText"/>
              <w:ind w:left="115"/>
              <w:spacing w:before="147" w:line="220" w:lineRule="auto"/>
              <w:rPr/>
            </w:pPr>
            <w:r>
              <w:rPr>
                <w:spacing w:val="-1"/>
              </w:rPr>
              <w:t>选择和规划风险应对措施</w:t>
            </w:r>
          </w:p>
        </w:tc>
      </w:tr>
      <w:tr>
        <w:trPr>
          <w:trHeight w:val="477" w:hRule="atLeast"/>
        </w:trPr>
        <w:tc>
          <w:tcPr>
            <w:tcW w:w="3121" w:type="dxa"/>
            <w:vAlign w:val="top"/>
          </w:tcPr>
          <w:p>
            <w:pPr>
              <w:pStyle w:val="TableText"/>
              <w:ind w:left="1116"/>
              <w:spacing w:before="148" w:line="220" w:lineRule="auto"/>
              <w:rPr/>
            </w:pPr>
            <w:r>
              <w:rPr>
                <w:spacing w:val="-2"/>
              </w:rPr>
              <w:t>监视和评审</w:t>
            </w:r>
          </w:p>
        </w:tc>
        <w:tc>
          <w:tcPr>
            <w:tcW w:w="3116" w:type="dxa"/>
            <w:vAlign w:val="top"/>
          </w:tcPr>
          <w:p>
            <w:pPr>
              <w:pStyle w:val="TableText"/>
              <w:ind w:left="114" w:right="362" w:firstLine="2"/>
              <w:spacing w:before="30" w:line="224" w:lineRule="auto"/>
              <w:rPr/>
            </w:pPr>
            <w:r>
              <w:rPr>
                <w:spacing w:val="-2"/>
              </w:rPr>
              <w:t>关键风险指标（</w:t>
            </w:r>
            <w:r>
              <w:rPr>
                <w:rFonts w:ascii="Times New Roman" w:hAnsi="Times New Roman" w:eastAsia="Times New Roman" w:cs="Times New Roman"/>
                <w:spacing w:val="-2"/>
              </w:rPr>
              <w:t>KRI</w:t>
            </w:r>
            <w:r>
              <w:rPr>
                <w:spacing w:val="-2"/>
              </w:rPr>
              <w:t>）、风险仪表</w:t>
            </w:r>
            <w:r>
              <w:rPr>
                <w:spacing w:val="-1"/>
              </w:rPr>
              <w:t>盘、内部审计、管理评审</w:t>
            </w:r>
          </w:p>
        </w:tc>
        <w:tc>
          <w:tcPr>
            <w:tcW w:w="3124" w:type="dxa"/>
            <w:vAlign w:val="top"/>
          </w:tcPr>
          <w:p>
            <w:pPr>
              <w:pStyle w:val="TableText"/>
              <w:ind w:left="118"/>
              <w:spacing w:before="147" w:line="220" w:lineRule="auto"/>
              <w:rPr/>
            </w:pPr>
            <w:r>
              <w:rPr>
                <w:spacing w:val="-1"/>
              </w:rPr>
              <w:t>持续监控风险状况和风险管理绩效</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组织应根据风险的特点、数据可获得性和组织的资源选择适宜的技术工具。</w:t>
      </w:r>
    </w:p>
    <w:p>
      <w:pPr>
        <w:spacing w:line="219" w:lineRule="auto"/>
        <w:sectPr>
          <w:footerReference w:type="default" r:id="rId28"/>
          <w:pgSz w:w="11907" w:h="16839"/>
          <w:pgMar w:top="1028" w:right="1128" w:bottom="880" w:left="1411" w:header="703" w:footer="680" w:gutter="0"/>
        </w:sectPr>
        <w:rPr>
          <w:rFonts w:ascii="SimSun" w:hAnsi="SimSun" w:eastAsia="SimSun" w:cs="SimSun"/>
          <w:sz w:val="18"/>
          <w:szCs w:val="18"/>
        </w:rPr>
      </w:pPr>
    </w:p>
    <w:p>
      <w:pPr>
        <w:ind w:left="4395"/>
        <w:spacing w:before="135" w:line="220" w:lineRule="auto"/>
        <w:outlineLvl w:val="0"/>
        <w:rPr>
          <w:rFonts w:ascii="Times New Roman" w:hAnsi="Times New Roman" w:eastAsia="Times New Roman" w:cs="Times New Roman"/>
          <w:sz w:val="21"/>
          <w:szCs w:val="21"/>
        </w:rPr>
      </w:pPr>
      <w:bookmarkStart w:name="bookmark41" w:id="47"/>
      <w:bookmarkEnd w:id="47"/>
      <w:r>
        <w:rPr>
          <w:rFonts w:ascii="SimHei" w:hAnsi="SimHei" w:eastAsia="SimHei" w:cs="SimHei"/>
          <w:sz w:val="21"/>
          <w:szCs w:val="21"/>
          <w:spacing w:val="-6"/>
        </w:rPr>
        <w:t>附录</w:t>
      </w:r>
      <w:r>
        <w:rPr>
          <w:rFonts w:ascii="SimHei" w:hAnsi="SimHei" w:eastAsia="SimHei" w:cs="SimHei"/>
          <w:sz w:val="21"/>
          <w:szCs w:val="21"/>
          <w:spacing w:val="-47"/>
        </w:rPr>
        <w:t xml:space="preserve"> </w:t>
      </w:r>
      <w:r>
        <w:rPr>
          <w:rFonts w:ascii="Times New Roman" w:hAnsi="Times New Roman" w:eastAsia="Times New Roman" w:cs="Times New Roman"/>
          <w:sz w:val="21"/>
          <w:szCs w:val="21"/>
          <w:spacing w:val="-6"/>
        </w:rPr>
        <w:t>C</w:t>
      </w:r>
    </w:p>
    <w:p>
      <w:pPr>
        <w:ind w:left="4180"/>
        <w:spacing w:before="105" w:line="220" w:lineRule="auto"/>
        <w:outlineLvl w:val="0"/>
        <w:rPr>
          <w:rFonts w:ascii="SimHei" w:hAnsi="SimHei" w:eastAsia="SimHei" w:cs="SimHei"/>
          <w:sz w:val="21"/>
          <w:szCs w:val="21"/>
        </w:rPr>
      </w:pPr>
      <w:bookmarkStart w:name="bookmark41" w:id="48"/>
      <w:bookmarkEnd w:id="48"/>
      <w:r>
        <w:rPr>
          <w:rFonts w:ascii="SimHei" w:hAnsi="SimHei" w:eastAsia="SimHei" w:cs="SimHei"/>
          <w:sz w:val="21"/>
          <w:szCs w:val="21"/>
          <w:spacing w:val="-7"/>
        </w:rPr>
        <w:t>（资料性）</w:t>
      </w:r>
    </w:p>
    <w:p>
      <w:pPr>
        <w:ind w:left="3220"/>
        <w:spacing w:before="104" w:line="220" w:lineRule="auto"/>
        <w:outlineLvl w:val="0"/>
        <w:rPr>
          <w:rFonts w:ascii="SimHei" w:hAnsi="SimHei" w:eastAsia="SimHei" w:cs="SimHei"/>
          <w:sz w:val="21"/>
          <w:szCs w:val="21"/>
        </w:rPr>
      </w:pPr>
      <w:bookmarkStart w:name="bookmark41" w:id="49"/>
      <w:bookmarkEnd w:id="49"/>
      <w:r>
        <w:rPr>
          <w:rFonts w:ascii="SimHei" w:hAnsi="SimHei" w:eastAsia="SimHei" w:cs="SimHei"/>
          <w:sz w:val="21"/>
          <w:szCs w:val="21"/>
          <w:spacing w:val="-1"/>
        </w:rPr>
        <w:t>风险管理体系成文信息清单参考</w:t>
      </w:r>
    </w:p>
    <w:p>
      <w:pPr>
        <w:ind w:left="435"/>
        <w:spacing w:before="300" w:line="234" w:lineRule="auto"/>
        <w:rPr>
          <w:rFonts w:ascii="SimSun" w:hAnsi="SimSun" w:eastAsia="SimSun" w:cs="SimSun"/>
          <w:sz w:val="21"/>
          <w:szCs w:val="21"/>
        </w:rPr>
      </w:pPr>
      <w:r>
        <w:rPr>
          <w:rFonts w:ascii="SimSun" w:hAnsi="SimSun" w:eastAsia="SimSun" w:cs="SimSun"/>
          <w:sz w:val="21"/>
          <w:szCs w:val="21"/>
          <w:spacing w:val="-2"/>
        </w:rPr>
        <w:t>组织可参照表</w:t>
      </w:r>
      <w:r>
        <w:rPr>
          <w:rFonts w:ascii="SimSun" w:hAnsi="SimSun" w:eastAsia="SimSun" w:cs="SimSun"/>
          <w:sz w:val="21"/>
          <w:szCs w:val="21"/>
          <w:spacing w:val="-39"/>
        </w:rPr>
        <w:t xml:space="preserve"> </w:t>
      </w:r>
      <w:r>
        <w:rPr>
          <w:rFonts w:ascii="Times New Roman" w:hAnsi="Times New Roman" w:eastAsia="Times New Roman" w:cs="Times New Roman"/>
          <w:sz w:val="21"/>
          <w:szCs w:val="21"/>
          <w:spacing w:val="-2"/>
        </w:rPr>
        <w:t>C.1 </w:t>
      </w:r>
      <w:r>
        <w:rPr>
          <w:rFonts w:ascii="SimSun" w:hAnsi="SimSun" w:eastAsia="SimSun" w:cs="SimSun"/>
          <w:sz w:val="21"/>
          <w:szCs w:val="21"/>
          <w:spacing w:val="-2"/>
        </w:rPr>
        <w:t>保持风险管理体系的成文信息。</w:t>
      </w:r>
    </w:p>
    <w:p>
      <w:pPr>
        <w:pStyle w:val="BodyText"/>
        <w:spacing w:line="242" w:lineRule="auto"/>
        <w:rPr/>
      </w:pPr>
      <w:r/>
    </w:p>
    <w:p>
      <w:pPr>
        <w:ind w:left="2988"/>
        <w:spacing w:before="58" w:line="233" w:lineRule="auto"/>
        <w:rPr>
          <w:rFonts w:ascii="SimHei" w:hAnsi="SimHei" w:eastAsia="SimHei" w:cs="SimHei"/>
          <w:sz w:val="18"/>
          <w:szCs w:val="18"/>
        </w:rPr>
      </w:pPr>
      <w:r>
        <w:rPr>
          <w:rFonts w:ascii="SimHei" w:hAnsi="SimHei" w:eastAsia="SimHei" w:cs="SimHei"/>
          <w:sz w:val="18"/>
          <w:szCs w:val="18"/>
          <w:spacing w:val="-2"/>
        </w:rPr>
        <w:t>表</w:t>
      </w:r>
      <w:r>
        <w:rPr>
          <w:rFonts w:ascii="SimHei" w:hAnsi="SimHei" w:eastAsia="SimHei" w:cs="SimHei"/>
          <w:sz w:val="18"/>
          <w:szCs w:val="18"/>
          <w:spacing w:val="-29"/>
        </w:rPr>
        <w:t xml:space="preserve"> </w:t>
      </w:r>
      <w:r>
        <w:rPr>
          <w:rFonts w:ascii="Times New Roman" w:hAnsi="Times New Roman" w:eastAsia="Times New Roman" w:cs="Times New Roman"/>
          <w:sz w:val="18"/>
          <w:szCs w:val="18"/>
          <w:spacing w:val="-2"/>
        </w:rPr>
        <w:t>C.1 </w:t>
      </w:r>
      <w:r>
        <w:rPr>
          <w:rFonts w:ascii="SimHei" w:hAnsi="SimHei" w:eastAsia="SimHei" w:cs="SimHei"/>
          <w:sz w:val="18"/>
          <w:szCs w:val="18"/>
          <w:spacing w:val="-2"/>
        </w:rPr>
        <w:t>风险管理体系成文信息清单（示例）</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4"/>
              <w:spacing w:before="32" w:line="207" w:lineRule="auto"/>
              <w:rPr>
                <w:rFonts w:ascii="SimHei" w:hAnsi="SimHei" w:eastAsia="SimHei" w:cs="SimHei"/>
                <w:sz w:val="18"/>
                <w:szCs w:val="18"/>
              </w:rPr>
            </w:pPr>
            <w:r>
              <w:rPr>
                <w:rFonts w:ascii="SimHei" w:hAnsi="SimHei" w:eastAsia="SimHei" w:cs="SimHei"/>
                <w:sz w:val="18"/>
                <w:szCs w:val="18"/>
                <w:spacing w:val="-2"/>
              </w:rPr>
              <w:t>序号</w:t>
            </w:r>
          </w:p>
        </w:tc>
        <w:tc>
          <w:tcPr>
            <w:tcW w:w="3116" w:type="dxa"/>
            <w:vAlign w:val="top"/>
          </w:tcPr>
          <w:p>
            <w:pPr>
              <w:ind w:left="1202"/>
              <w:spacing w:before="32" w:line="207" w:lineRule="auto"/>
              <w:rPr>
                <w:rFonts w:ascii="SimHei" w:hAnsi="SimHei" w:eastAsia="SimHei" w:cs="SimHei"/>
                <w:sz w:val="18"/>
                <w:szCs w:val="18"/>
              </w:rPr>
            </w:pPr>
            <w:r>
              <w:rPr>
                <w:rFonts w:ascii="SimHei" w:hAnsi="SimHei" w:eastAsia="SimHei" w:cs="SimHei"/>
                <w:sz w:val="18"/>
                <w:szCs w:val="18"/>
                <w:spacing w:val="-2"/>
              </w:rPr>
              <w:t>成文信息</w:t>
            </w:r>
          </w:p>
        </w:tc>
        <w:tc>
          <w:tcPr>
            <w:tcW w:w="3124" w:type="dxa"/>
            <w:vAlign w:val="top"/>
          </w:tcPr>
          <w:p>
            <w:pPr>
              <w:ind w:left="1117"/>
              <w:spacing w:before="32" w:line="207" w:lineRule="auto"/>
              <w:rPr>
                <w:rFonts w:ascii="SimHei" w:hAnsi="SimHei" w:eastAsia="SimHei" w:cs="SimHei"/>
                <w:sz w:val="18"/>
                <w:szCs w:val="18"/>
              </w:rPr>
            </w:pPr>
            <w:r>
              <w:rPr>
                <w:rFonts w:ascii="SimHei" w:hAnsi="SimHei" w:eastAsia="SimHei" w:cs="SimHei"/>
                <w:sz w:val="18"/>
                <w:szCs w:val="18"/>
                <w:spacing w:val="-2"/>
              </w:rPr>
              <w:t>本文件条款</w:t>
            </w:r>
          </w:p>
        </w:tc>
      </w:tr>
      <w:tr>
        <w:trPr>
          <w:trHeight w:val="237" w:hRule="atLeast"/>
        </w:trPr>
        <w:tc>
          <w:tcPr>
            <w:tcW w:w="3121" w:type="dxa"/>
            <w:vAlign w:val="top"/>
          </w:tcPr>
          <w:p>
            <w:pPr>
              <w:ind w:left="1532"/>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3116" w:type="dxa"/>
            <w:vAlign w:val="top"/>
          </w:tcPr>
          <w:p>
            <w:pPr>
              <w:pStyle w:val="TableText"/>
              <w:ind w:left="1024"/>
              <w:spacing w:before="26" w:line="206" w:lineRule="auto"/>
              <w:rPr/>
            </w:pPr>
            <w:r>
              <w:rPr>
                <w:spacing w:val="-2"/>
              </w:rPr>
              <w:t>风险管理方针</w:t>
            </w:r>
          </w:p>
        </w:tc>
        <w:tc>
          <w:tcPr>
            <w:tcW w:w="3124" w:type="dxa"/>
            <w:vAlign w:val="top"/>
          </w:tcPr>
          <w:p>
            <w:pPr>
              <w:ind w:left="1455"/>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5.2</w:t>
            </w:r>
          </w:p>
        </w:tc>
      </w:tr>
      <w:tr>
        <w:trPr>
          <w:trHeight w:val="239" w:hRule="atLeast"/>
        </w:trPr>
        <w:tc>
          <w:tcPr>
            <w:tcW w:w="3121" w:type="dxa"/>
            <w:vAlign w:val="top"/>
          </w:tcPr>
          <w:p>
            <w:pPr>
              <w:ind w:left="1515"/>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3116" w:type="dxa"/>
            <w:vAlign w:val="top"/>
          </w:tcPr>
          <w:p>
            <w:pPr>
              <w:pStyle w:val="TableText"/>
              <w:ind w:left="1024"/>
              <w:spacing w:before="26" w:line="208" w:lineRule="auto"/>
              <w:rPr/>
            </w:pPr>
            <w:r>
              <w:rPr>
                <w:spacing w:val="-2"/>
              </w:rPr>
              <w:t>风险管理目标</w:t>
            </w:r>
          </w:p>
        </w:tc>
        <w:tc>
          <w:tcPr>
            <w:tcW w:w="3124" w:type="dxa"/>
            <w:vAlign w:val="top"/>
          </w:tcPr>
          <w:p>
            <w:pPr>
              <w:ind w:left="1454"/>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6.3</w:t>
            </w:r>
          </w:p>
        </w:tc>
      </w:tr>
      <w:tr>
        <w:trPr>
          <w:trHeight w:val="237" w:hRule="atLeast"/>
        </w:trPr>
        <w:tc>
          <w:tcPr>
            <w:tcW w:w="3121" w:type="dxa"/>
            <w:vAlign w:val="top"/>
          </w:tcPr>
          <w:p>
            <w:pPr>
              <w:ind w:left="151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3116" w:type="dxa"/>
            <w:vAlign w:val="top"/>
          </w:tcPr>
          <w:p>
            <w:pPr>
              <w:pStyle w:val="TableText"/>
              <w:ind w:left="844"/>
              <w:spacing w:before="27" w:line="205" w:lineRule="auto"/>
              <w:rPr/>
            </w:pPr>
            <w:r>
              <w:rPr>
                <w:spacing w:val="-1"/>
              </w:rPr>
              <w:t>风险管理体系范围</w:t>
            </w:r>
          </w:p>
        </w:tc>
        <w:tc>
          <w:tcPr>
            <w:tcW w:w="3124" w:type="dxa"/>
            <w:vAlign w:val="top"/>
          </w:tcPr>
          <w:p>
            <w:pPr>
              <w:ind w:left="144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tc>
      </w:tr>
      <w:tr>
        <w:trPr>
          <w:trHeight w:val="239" w:hRule="atLeast"/>
        </w:trPr>
        <w:tc>
          <w:tcPr>
            <w:tcW w:w="3121" w:type="dxa"/>
            <w:vAlign w:val="top"/>
          </w:tcPr>
          <w:p>
            <w:pPr>
              <w:ind w:left="151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3116" w:type="dxa"/>
            <w:vAlign w:val="top"/>
          </w:tcPr>
          <w:p>
            <w:pPr>
              <w:pStyle w:val="TableText"/>
              <w:ind w:left="1204"/>
              <w:spacing w:before="27" w:line="207" w:lineRule="auto"/>
              <w:rPr/>
            </w:pPr>
            <w:r>
              <w:rPr>
                <w:spacing w:val="-2"/>
              </w:rPr>
              <w:t>风险准则</w:t>
            </w:r>
          </w:p>
        </w:tc>
        <w:tc>
          <w:tcPr>
            <w:tcW w:w="3124" w:type="dxa"/>
            <w:vAlign w:val="top"/>
          </w:tcPr>
          <w:p>
            <w:pPr>
              <w:ind w:left="145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6.2</w:t>
            </w:r>
          </w:p>
        </w:tc>
      </w:tr>
      <w:tr>
        <w:trPr>
          <w:trHeight w:val="237" w:hRule="atLeast"/>
        </w:trPr>
        <w:tc>
          <w:tcPr>
            <w:tcW w:w="3121" w:type="dxa"/>
            <w:vAlign w:val="top"/>
          </w:tcPr>
          <w:p>
            <w:pPr>
              <w:ind w:left="1520"/>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3116" w:type="dxa"/>
            <w:vAlign w:val="top"/>
          </w:tcPr>
          <w:p>
            <w:pPr>
              <w:pStyle w:val="TableText"/>
              <w:ind w:left="115"/>
              <w:spacing w:before="28" w:line="204" w:lineRule="auto"/>
              <w:rPr/>
            </w:pPr>
            <w:r>
              <w:rPr>
                <w:spacing w:val="-2"/>
              </w:rPr>
              <w:t>风险识别结果（风险清单）</w:t>
            </w:r>
          </w:p>
        </w:tc>
        <w:tc>
          <w:tcPr>
            <w:tcW w:w="3124" w:type="dxa"/>
            <w:vAlign w:val="top"/>
          </w:tcPr>
          <w:p>
            <w:pPr>
              <w:ind w:left="1390"/>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8.2.1</w:t>
            </w:r>
          </w:p>
        </w:tc>
      </w:tr>
      <w:tr>
        <w:trPr>
          <w:trHeight w:val="238" w:hRule="atLeast"/>
        </w:trPr>
        <w:tc>
          <w:tcPr>
            <w:tcW w:w="3121" w:type="dxa"/>
            <w:vAlign w:val="top"/>
          </w:tcPr>
          <w:p>
            <w:pPr>
              <w:ind w:left="1519"/>
              <w:spacing w:before="61"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3116" w:type="dxa"/>
            <w:vAlign w:val="top"/>
          </w:tcPr>
          <w:p>
            <w:pPr>
              <w:pStyle w:val="TableText"/>
              <w:ind w:left="1024"/>
              <w:spacing w:before="29" w:line="204" w:lineRule="auto"/>
              <w:rPr/>
            </w:pPr>
            <w:r>
              <w:rPr>
                <w:spacing w:val="-2"/>
              </w:rPr>
              <w:t>风险分析结果</w:t>
            </w:r>
          </w:p>
        </w:tc>
        <w:tc>
          <w:tcPr>
            <w:tcW w:w="3124" w:type="dxa"/>
            <w:vAlign w:val="top"/>
          </w:tcPr>
          <w:p>
            <w:pPr>
              <w:ind w:left="1390"/>
              <w:spacing w:before="61"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8.2.2</w:t>
            </w:r>
          </w:p>
        </w:tc>
      </w:tr>
      <w:tr>
        <w:trPr>
          <w:trHeight w:val="240" w:hRule="atLeast"/>
        </w:trPr>
        <w:tc>
          <w:tcPr>
            <w:tcW w:w="3121" w:type="dxa"/>
            <w:vAlign w:val="top"/>
          </w:tcPr>
          <w:p>
            <w:pPr>
              <w:ind w:left="1518"/>
              <w:spacing w:before="60"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3116" w:type="dxa"/>
            <w:vAlign w:val="top"/>
          </w:tcPr>
          <w:p>
            <w:pPr>
              <w:pStyle w:val="TableText"/>
              <w:ind w:left="115"/>
              <w:spacing w:before="31" w:line="204" w:lineRule="auto"/>
              <w:rPr/>
            </w:pPr>
            <w:r>
              <w:rPr>
                <w:spacing w:val="-1"/>
              </w:rPr>
              <w:t>风险评价结果及优先处理清单</w:t>
            </w:r>
          </w:p>
        </w:tc>
        <w:tc>
          <w:tcPr>
            <w:tcW w:w="3124" w:type="dxa"/>
            <w:vAlign w:val="top"/>
          </w:tcPr>
          <w:p>
            <w:pPr>
              <w:ind w:left="1390"/>
              <w:spacing w:before="60"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8.2.3</w:t>
            </w:r>
          </w:p>
        </w:tc>
      </w:tr>
      <w:tr>
        <w:trPr>
          <w:trHeight w:val="237" w:hRule="atLeast"/>
        </w:trPr>
        <w:tc>
          <w:tcPr>
            <w:tcW w:w="3121" w:type="dxa"/>
            <w:vAlign w:val="top"/>
          </w:tcPr>
          <w:p>
            <w:pPr>
              <w:ind w:left="1522"/>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3116" w:type="dxa"/>
            <w:vAlign w:val="top"/>
          </w:tcPr>
          <w:p>
            <w:pPr>
              <w:pStyle w:val="TableText"/>
              <w:ind w:left="115"/>
              <w:spacing w:before="28" w:line="204" w:lineRule="auto"/>
              <w:rPr/>
            </w:pPr>
            <w:r>
              <w:rPr>
                <w:spacing w:val="-1"/>
              </w:rPr>
              <w:t>风险应对计划及实施结果</w:t>
            </w:r>
          </w:p>
        </w:tc>
        <w:tc>
          <w:tcPr>
            <w:tcW w:w="3124" w:type="dxa"/>
            <w:vAlign w:val="top"/>
          </w:tcPr>
          <w:p>
            <w:pPr>
              <w:ind w:left="1457"/>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8.3</w:t>
            </w:r>
          </w:p>
        </w:tc>
      </w:tr>
      <w:tr>
        <w:trPr>
          <w:trHeight w:val="239" w:hRule="atLeast"/>
        </w:trPr>
        <w:tc>
          <w:tcPr>
            <w:tcW w:w="3121" w:type="dxa"/>
            <w:vAlign w:val="top"/>
          </w:tcPr>
          <w:p>
            <w:pPr>
              <w:ind w:left="1518"/>
              <w:spacing w:before="60" w:line="19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3116" w:type="dxa"/>
            <w:vAlign w:val="top"/>
          </w:tcPr>
          <w:p>
            <w:pPr>
              <w:pStyle w:val="TableText"/>
              <w:ind w:left="935"/>
              <w:spacing w:before="31" w:line="203" w:lineRule="auto"/>
              <w:rPr/>
            </w:pPr>
            <w:r>
              <w:rPr>
                <w:spacing w:val="-1"/>
              </w:rPr>
              <w:t>监视和评审结果</w:t>
            </w:r>
          </w:p>
        </w:tc>
        <w:tc>
          <w:tcPr>
            <w:tcW w:w="3124" w:type="dxa"/>
            <w:vAlign w:val="top"/>
          </w:tcPr>
          <w:p>
            <w:pPr>
              <w:ind w:left="1457"/>
              <w:spacing w:before="60" w:line="19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8.4</w:t>
            </w:r>
          </w:p>
        </w:tc>
      </w:tr>
      <w:tr>
        <w:trPr>
          <w:trHeight w:val="237" w:hRule="atLeast"/>
        </w:trPr>
        <w:tc>
          <w:tcPr>
            <w:tcW w:w="3121" w:type="dxa"/>
            <w:vAlign w:val="top"/>
          </w:tcPr>
          <w:p>
            <w:pPr>
              <w:ind w:left="1489"/>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w:t>
            </w:r>
          </w:p>
        </w:tc>
        <w:tc>
          <w:tcPr>
            <w:tcW w:w="3116" w:type="dxa"/>
            <w:vAlign w:val="top"/>
          </w:tcPr>
          <w:p>
            <w:pPr>
              <w:pStyle w:val="TableText"/>
              <w:ind w:left="1114"/>
              <w:spacing w:before="30" w:line="202" w:lineRule="auto"/>
              <w:rPr/>
            </w:pPr>
            <w:r>
              <w:rPr>
                <w:spacing w:val="-2"/>
              </w:rPr>
              <w:t>记录和报告</w:t>
            </w:r>
          </w:p>
        </w:tc>
        <w:tc>
          <w:tcPr>
            <w:tcW w:w="3124" w:type="dxa"/>
            <w:vAlign w:val="top"/>
          </w:tcPr>
          <w:p>
            <w:pPr>
              <w:ind w:left="1457"/>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8.5</w:t>
            </w:r>
          </w:p>
        </w:tc>
      </w:tr>
      <w:tr>
        <w:trPr>
          <w:trHeight w:val="239" w:hRule="atLeast"/>
        </w:trPr>
        <w:tc>
          <w:tcPr>
            <w:tcW w:w="3121" w:type="dxa"/>
            <w:vAlign w:val="top"/>
          </w:tcPr>
          <w:p>
            <w:pPr>
              <w:ind w:left="1489"/>
              <w:spacing w:before="62"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11</w:t>
            </w:r>
          </w:p>
        </w:tc>
        <w:tc>
          <w:tcPr>
            <w:tcW w:w="3116" w:type="dxa"/>
            <w:vAlign w:val="top"/>
          </w:tcPr>
          <w:p>
            <w:pPr>
              <w:pStyle w:val="TableText"/>
              <w:ind w:left="1210"/>
              <w:spacing w:before="30" w:line="204" w:lineRule="auto"/>
              <w:rPr/>
            </w:pPr>
            <w:r>
              <w:rPr>
                <w:spacing w:val="-3"/>
              </w:rPr>
              <w:t>能力证据</w:t>
            </w:r>
          </w:p>
        </w:tc>
        <w:tc>
          <w:tcPr>
            <w:tcW w:w="3124" w:type="dxa"/>
            <w:vAlign w:val="top"/>
          </w:tcPr>
          <w:p>
            <w:pPr>
              <w:ind w:left="1453"/>
              <w:spacing w:before="62"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7.2</w:t>
            </w:r>
          </w:p>
        </w:tc>
      </w:tr>
      <w:tr>
        <w:trPr>
          <w:trHeight w:val="237" w:hRule="atLeast"/>
        </w:trPr>
        <w:tc>
          <w:tcPr>
            <w:tcW w:w="3121" w:type="dxa"/>
            <w:vAlign w:val="top"/>
          </w:tcPr>
          <w:p>
            <w:pPr>
              <w:ind w:left="1489"/>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12</w:t>
            </w:r>
          </w:p>
        </w:tc>
        <w:tc>
          <w:tcPr>
            <w:tcW w:w="3116" w:type="dxa"/>
            <w:vAlign w:val="top"/>
          </w:tcPr>
          <w:p>
            <w:pPr>
              <w:pStyle w:val="TableText"/>
              <w:ind w:left="776"/>
              <w:spacing w:before="31" w:line="201" w:lineRule="auto"/>
              <w:rPr/>
            </w:pPr>
            <w:r>
              <w:rPr>
                <w:spacing w:val="-3"/>
              </w:rPr>
              <w:t>内部审核方案和结果</w:t>
            </w:r>
          </w:p>
        </w:tc>
        <w:tc>
          <w:tcPr>
            <w:tcW w:w="3124" w:type="dxa"/>
            <w:vAlign w:val="top"/>
          </w:tcPr>
          <w:p>
            <w:pPr>
              <w:ind w:left="1453"/>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9.2</w:t>
            </w:r>
          </w:p>
        </w:tc>
      </w:tr>
      <w:tr>
        <w:trPr>
          <w:trHeight w:val="240" w:hRule="atLeast"/>
        </w:trPr>
        <w:tc>
          <w:tcPr>
            <w:tcW w:w="3121" w:type="dxa"/>
            <w:vAlign w:val="top"/>
          </w:tcPr>
          <w:p>
            <w:pPr>
              <w:ind w:left="1489"/>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w:t>
            </w:r>
          </w:p>
        </w:tc>
        <w:tc>
          <w:tcPr>
            <w:tcW w:w="3116" w:type="dxa"/>
            <w:vAlign w:val="top"/>
          </w:tcPr>
          <w:p>
            <w:pPr>
              <w:pStyle w:val="TableText"/>
              <w:ind w:left="1028"/>
              <w:spacing w:before="31" w:line="204" w:lineRule="auto"/>
              <w:rPr/>
            </w:pPr>
            <w:r>
              <w:rPr>
                <w:spacing w:val="-2"/>
              </w:rPr>
              <w:t>管理评审结果</w:t>
            </w:r>
          </w:p>
        </w:tc>
        <w:tc>
          <w:tcPr>
            <w:tcW w:w="3124" w:type="dxa"/>
            <w:vAlign w:val="top"/>
          </w:tcPr>
          <w:p>
            <w:pPr>
              <w:ind w:left="1453"/>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9.3</w:t>
            </w:r>
          </w:p>
        </w:tc>
      </w:tr>
      <w:tr>
        <w:trPr>
          <w:trHeight w:val="242" w:hRule="atLeast"/>
        </w:trPr>
        <w:tc>
          <w:tcPr>
            <w:tcW w:w="3121" w:type="dxa"/>
            <w:vAlign w:val="top"/>
          </w:tcPr>
          <w:p>
            <w:pPr>
              <w:ind w:left="1489"/>
              <w:spacing w:before="61"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14</w:t>
            </w:r>
          </w:p>
        </w:tc>
        <w:tc>
          <w:tcPr>
            <w:tcW w:w="3116" w:type="dxa"/>
            <w:vAlign w:val="top"/>
          </w:tcPr>
          <w:p>
            <w:pPr>
              <w:pStyle w:val="TableText"/>
              <w:ind w:left="666"/>
              <w:spacing w:before="31" w:line="206" w:lineRule="auto"/>
              <w:rPr/>
            </w:pPr>
            <w:r>
              <w:rPr>
                <w:spacing w:val="-1"/>
              </w:rPr>
              <w:t>不符合及纠正措施记录</w:t>
            </w:r>
          </w:p>
        </w:tc>
        <w:tc>
          <w:tcPr>
            <w:tcW w:w="3124" w:type="dxa"/>
            <w:vAlign w:val="top"/>
          </w:tcPr>
          <w:p>
            <w:pPr>
              <w:ind w:left="1424"/>
              <w:spacing w:before="61"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10.2</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组织应根据本文件要求和实际情况确定所需保持和保留的成</w:t>
      </w:r>
      <w:r>
        <w:rPr>
          <w:rFonts w:ascii="SimSun" w:hAnsi="SimSun" w:eastAsia="SimSun" w:cs="SimSun"/>
          <w:sz w:val="18"/>
          <w:szCs w:val="18"/>
          <w:spacing w:val="-2"/>
        </w:rPr>
        <w:t>文信息。</w:t>
      </w:r>
    </w:p>
    <w:sectPr>
      <w:footerReference w:type="default" r:id="rId29"/>
      <w:pgSz w:w="11907" w:h="16839"/>
      <w:pgMar w:top="1028" w:right="1128" w:bottom="880" w:left="1411" w:header="703" w:footer="68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Cambria">
    <w:panose1 w:val="02040503050406030204"/>
    <w:charset w:val="00"/>
    <w:family w:val="auto"/>
    <w:pitch w:val="variable"/>
    <w:sig w:usb0="E00006FF" w:usb1="420024FF" w:usb2="02000000" w:usb3="00000000" w:csb0="2000019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22"/>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8"/>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3"/>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1"/>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189"/>
      <w:spacing w:line="22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2"/>
      </w:rPr>
      <w:t>1</w:t>
    </w:r>
    <w:r>
      <w:rPr>
        <w:rFonts w:ascii="Times New Roman" w:hAnsi="Times New Roman" w:eastAsia="Times New Roman" w:cs="Times New Roman"/>
        <w:sz w:val="18"/>
        <w:szCs w:val="18"/>
        <w:spacing w:val="-8"/>
      </w:rPr>
      <w:t>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64"/>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58"/>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6"/>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60"/>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6"/>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ZRHZ003-2026</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5.xml"/><Relationship Id="rId7" Type="http://schemas.openxmlformats.org/officeDocument/2006/relationships/footer" Target="footer3.xml"/><Relationship Id="rId6" Type="http://schemas.openxmlformats.org/officeDocument/2006/relationships/header" Target="header4.xml"/><Relationship Id="rId5" Type="http://schemas.openxmlformats.org/officeDocument/2006/relationships/footer" Target="footer2.xml"/><Relationship Id="rId4" Type="http://schemas.openxmlformats.org/officeDocument/2006/relationships/header" Target="header3.xml"/><Relationship Id="rId32" Type="http://schemas.openxmlformats.org/officeDocument/2006/relationships/fontTable" Target="fontTable.xml"/><Relationship Id="rId31" Type="http://schemas.openxmlformats.org/officeDocument/2006/relationships/styles" Target="styles.xml"/><Relationship Id="rId30" Type="http://schemas.openxmlformats.org/officeDocument/2006/relationships/settings" Target="settings.xml"/><Relationship Id="rId3" Type="http://schemas.openxmlformats.org/officeDocument/2006/relationships/footer" Target="foot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header" Target="header13.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2.xml"/><Relationship Id="rId22" Type="http://schemas.openxmlformats.org/officeDocument/2006/relationships/footer" Target="footer11.xml"/><Relationship Id="rId21" Type="http://schemas.openxmlformats.org/officeDocument/2006/relationships/header" Target="header11.xml"/><Relationship Id="rId20" Type="http://schemas.openxmlformats.org/officeDocument/2006/relationships/footer" Target="footer10.xml"/><Relationship Id="rId2" Type="http://schemas.openxmlformats.org/officeDocument/2006/relationships/header" Target="header2.xml"/><Relationship Id="rId19" Type="http://schemas.openxmlformats.org/officeDocument/2006/relationships/header" Target="head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9.xml"/><Relationship Id="rId15" Type="http://schemas.openxmlformats.org/officeDocument/2006/relationships/footer" Target="footer7.xml"/><Relationship Id="rId14" Type="http://schemas.openxmlformats.org/officeDocument/2006/relationships/header" Target="header8.xml"/><Relationship Id="rId13" Type="http://schemas.openxmlformats.org/officeDocument/2006/relationships/footer" Target="footer6.xml"/><Relationship Id="rId12" Type="http://schemas.openxmlformats.org/officeDocument/2006/relationships/header" Target="header7.xml"/><Relationship Id="rId11" Type="http://schemas.openxmlformats.org/officeDocument/2006/relationships/footer" Target="footer5.xml"/><Relationship Id="rId10" Type="http://schemas.openxmlformats.org/officeDocument/2006/relationships/header" Target="header6.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2026-09-03T11:42:47Z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2026-09-04T16:36:53</vt:filetime>
  </property>
</Properties>
</file>