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4" w:lineRule="auto"/>
        <w:rPr/>
      </w:pPr>
      <w:r/>
    </w:p>
    <w:p>
      <w:pPr>
        <w:pStyle w:val="BodyText"/>
        <w:spacing w:line="254" w:lineRule="auto"/>
        <w:rPr/>
      </w:pPr>
      <w:r/>
    </w:p>
    <w:p>
      <w:pPr>
        <w:ind w:left="2387"/>
        <w:spacing w:before="169" w:line="219" w:lineRule="auto"/>
        <w:outlineLvl w:val="0"/>
        <w:rPr>
          <w:rFonts w:ascii="SimHei" w:hAnsi="SimHei" w:eastAsia="SimHei" w:cs="SimHei"/>
          <w:sz w:val="52"/>
          <w:szCs w:val="52"/>
        </w:rPr>
      </w:pPr>
      <w:r>
        <w:rPr>
          <w:rFonts w:ascii="SimHei" w:hAnsi="SimHei" w:eastAsia="SimHei" w:cs="SimHei"/>
          <w:sz w:val="52"/>
          <w:szCs w:val="52"/>
          <w:spacing w:val="-4"/>
        </w:rPr>
        <w:t>可追溯管理体系</w:t>
      </w:r>
      <w:r>
        <w:rPr>
          <w:rFonts w:ascii="SimHei" w:hAnsi="SimHei" w:eastAsia="SimHei" w:cs="SimHei"/>
          <w:sz w:val="52"/>
          <w:szCs w:val="52"/>
          <w:spacing w:val="-113"/>
        </w:rPr>
        <w:t xml:space="preserve"> </w:t>
      </w:r>
      <w:r>
        <w:rPr>
          <w:rFonts w:ascii="SimHei" w:hAnsi="SimHei" w:eastAsia="SimHei" w:cs="SimHei"/>
          <w:sz w:val="52"/>
          <w:szCs w:val="52"/>
          <w:spacing w:val="-4"/>
        </w:rPr>
        <w:t>要求</w:t>
      </w:r>
    </w:p>
    <w:p>
      <w:pPr>
        <w:pStyle w:val="BodyText"/>
        <w:spacing w:line="271" w:lineRule="auto"/>
        <w:rPr/>
      </w:pPr>
      <w:r/>
    </w:p>
    <w:p>
      <w:pPr>
        <w:ind w:left="1935"/>
        <w:spacing w:before="81" w:line="19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Traceability management system — Requir</w:t>
      </w:r>
      <w:r>
        <w:rPr>
          <w:rFonts w:ascii="Times New Roman" w:hAnsi="Times New Roman" w:eastAsia="Times New Roman" w:cs="Times New Roman"/>
          <w:sz w:val="28"/>
          <w:szCs w:val="28"/>
          <w:spacing w:val="-1"/>
        </w:rPr>
        <w:t>ements</w:t>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5"/>
        <w:spacing w:before="91" w:line="232" w:lineRule="auto"/>
        <w:rPr>
          <w:rFonts w:ascii="SimHei" w:hAnsi="SimHei" w:eastAsia="SimHei" w:cs="SimHei"/>
          <w:sz w:val="28"/>
          <w:szCs w:val="28"/>
        </w:rPr>
      </w:pPr>
      <w:r>
        <w:pict>
          <v:shape id="_x0000_s2" style="position:absolute;margin-left:0pt;margin-top:18.2117pt;mso-position-vertical-relative:text;mso-position-horizontal-relative:text;width:431.85pt;height:0.75pt;z-index:251658240;" fillcolor="#000000" filled="true" stroked="false" coordsize="8637,15" coordorigin="0,0" path="m0,14l8636,14l8636,0l0,0l0,14xe"/>
        </w:pict>
      </w:r>
      <w:r>
        <w:rPr>
          <w:rFonts w:ascii="Times New Roman" w:hAnsi="Times New Roman" w:eastAsia="Times New Roman" w:cs="Times New Roman"/>
          <w:sz w:val="28"/>
          <w:szCs w:val="28"/>
        </w:rPr>
        <w:t>2026-05-10 </w:t>
      </w:r>
      <w:r>
        <w:rPr>
          <w:rFonts w:ascii="SimHei" w:hAnsi="SimHei" w:eastAsia="SimHei" w:cs="SimHei"/>
          <w:sz w:val="28"/>
          <w:szCs w:val="28"/>
        </w:rPr>
        <w:t>发布</w:t>
      </w:r>
      <w:r>
        <w:rPr>
          <w:rFonts w:ascii="SimHei" w:hAnsi="SimHei" w:eastAsia="SimHei" w:cs="SimHei"/>
          <w:sz w:val="28"/>
          <w:szCs w:val="28"/>
        </w:rPr>
        <w:t xml:space="preserve">                                  </w:t>
      </w:r>
      <w:r>
        <w:rPr>
          <w:rFonts w:ascii="Times New Roman" w:hAnsi="Times New Roman" w:eastAsia="Times New Roman" w:cs="Times New Roman"/>
          <w:sz w:val="28"/>
          <w:szCs w:val="28"/>
          <w:spacing w:val="-1"/>
        </w:rPr>
        <w:t>2026-05-10</w:t>
      </w:r>
      <w:r>
        <w:rPr>
          <w:rFonts w:ascii="Times New Roman" w:hAnsi="Times New Roman" w:eastAsia="Times New Roman" w:cs="Times New Roman"/>
          <w:sz w:val="28"/>
          <w:szCs w:val="28"/>
          <w:spacing w:val="19"/>
          <w:w w:val="101"/>
        </w:rPr>
        <w:t xml:space="preserve"> </w:t>
      </w:r>
      <w:r>
        <w:rPr>
          <w:rFonts w:ascii="SimHei" w:hAnsi="SimHei" w:eastAsia="SimHei" w:cs="SimHei"/>
          <w:sz w:val="28"/>
          <w:szCs w:val="28"/>
          <w:spacing w:val="-1"/>
        </w:rPr>
        <w:t>实施</w:t>
      </w:r>
    </w:p>
    <w:p>
      <w:pPr>
        <w:ind w:left="2204"/>
        <w:spacing w:before="268" w:line="226" w:lineRule="auto"/>
        <w:rPr>
          <w:rFonts w:ascii="SimHei" w:hAnsi="SimHei" w:eastAsia="SimHei" w:cs="SimHei"/>
          <w:sz w:val="28"/>
          <w:szCs w:val="28"/>
        </w:rPr>
      </w:pPr>
      <w:r>
        <w:rPr>
          <w:rFonts w:ascii="SimHei" w:hAnsi="SimHei" w:eastAsia="SimHei" w:cs="SimHei"/>
          <w:sz w:val="31"/>
          <w:szCs w:val="31"/>
          <w:spacing w:val="6"/>
        </w:rPr>
        <w:t>中认合纵认证（深圳）有限公司</w:t>
      </w:r>
      <w:r>
        <w:rPr>
          <w:rFonts w:ascii="SimHei" w:hAnsi="SimHei" w:eastAsia="SimHei" w:cs="SimHei"/>
          <w:sz w:val="31"/>
          <w:szCs w:val="31"/>
          <w:spacing w:val="6"/>
        </w:rPr>
        <w:t xml:space="preserve"> </w:t>
      </w:r>
      <w:r>
        <w:rPr>
          <w:rFonts w:ascii="SimHei" w:hAnsi="SimHei" w:eastAsia="SimHei" w:cs="SimHei"/>
          <w:sz w:val="28"/>
          <w:szCs w:val="28"/>
          <w:spacing w:val="6"/>
        </w:rPr>
        <w:t>发布</w:t>
      </w:r>
    </w:p>
    <w:p>
      <w:pPr>
        <w:spacing w:line="226" w:lineRule="auto"/>
        <w:sectPr>
          <w:headerReference w:type="default" r:id="rId1"/>
          <w:pgSz w:w="11907" w:h="16839"/>
          <w:pgMar w:top="1441" w:right="1133" w:bottom="0" w:left="1327" w:header="1116" w:footer="0" w:gutter="0"/>
        </w:sectPr>
        <w:rPr>
          <w:rFonts w:ascii="SimHei" w:hAnsi="SimHei" w:eastAsia="SimHei" w:cs="SimHei"/>
          <w:sz w:val="28"/>
          <w:szCs w:val="28"/>
        </w:rPr>
      </w:pPr>
    </w:p>
    <w:sdt>
      <w:sdtPr>
        <w:rPr>
          <w:rFonts w:ascii="SimHei" w:hAnsi="SimHei" w:eastAsia="SimHei" w:cs="SimHei"/>
          <w:sz w:val="31"/>
          <w:szCs w:val="31"/>
        </w:rPr>
        <w:docPartObj>
          <w:docPartGallery w:val="Table of Contents"/>
          <w:docPartUnique/>
        </w:docPartObj>
      </w:sdtPr>
      <w:sdtEndPr>
        <w:rPr>
          <w:rFonts w:ascii="Cambria" w:hAnsi="Cambria" w:eastAsia="Cambria" w:cs="Cambria"/>
          <w:sz w:val="22"/>
          <w:szCs w:val="22"/>
        </w:rPr>
      </w:sdtEndPr>
      <w:sdtContent>
        <w:p>
          <w:pPr>
            <w:ind w:left="4405"/>
            <w:spacing w:before="151" w:line="225" w:lineRule="auto"/>
            <w:rPr>
              <w:rFonts w:ascii="SimHei" w:hAnsi="SimHei" w:eastAsia="SimHei" w:cs="SimHei"/>
              <w:sz w:val="31"/>
              <w:szCs w:val="31"/>
            </w:rPr>
          </w:pPr>
          <w:bookmarkStart w:name="bookmark1" w:id="1"/>
          <w:bookmarkEnd w:id="1"/>
          <w:r>
            <w:rPr>
              <w:rFonts w:ascii="SimHei" w:hAnsi="SimHei" w:eastAsia="SimHei" w:cs="SimHei"/>
              <w:sz w:val="31"/>
              <w:szCs w:val="31"/>
              <w:spacing w:val="-9"/>
            </w:rPr>
            <w:t>目次</w:t>
          </w:r>
        </w:p>
        <w:p>
          <w:pPr>
            <w:pStyle w:val="BodyText"/>
            <w:spacing w:line="315" w:lineRule="auto"/>
            <w:rPr/>
          </w:pPr>
          <w:r/>
        </w:p>
        <w:p>
          <w:pPr>
            <w:ind w:left="32"/>
            <w:spacing w:before="72" w:line="200" w:lineRule="auto"/>
            <w:tabs>
              <w:tab w:val="right" w:leader="dot" w:pos="9342"/>
            </w:tabs>
            <w:rPr>
              <w:rFonts w:ascii="Cambria" w:hAnsi="Cambria" w:eastAsia="Cambria" w:cs="Cambria"/>
              <w:sz w:val="22"/>
              <w:szCs w:val="22"/>
            </w:rPr>
          </w:pPr>
          <w:hyperlink w:history="true" w:anchor="bookmark1">
            <w:r>
              <w:rPr>
                <w:rFonts w:ascii="SimHei" w:hAnsi="SimHei" w:eastAsia="SimHei" w:cs="SimHei"/>
                <w:sz w:val="22"/>
                <w:szCs w:val="22"/>
                <w:spacing w:val="-18"/>
              </w:rPr>
              <w:t>目次</w:t>
            </w:r>
            <w:r>
              <w:rPr>
                <w:rFonts w:ascii="SimHei" w:hAnsi="SimHei" w:eastAsia="SimHei" w:cs="SimHei"/>
                <w:sz w:val="22"/>
                <w:szCs w:val="22"/>
                <w:spacing w:val="-86"/>
              </w:rPr>
              <w:t xml:space="preserve"> </w:t>
            </w:r>
            <w:r>
              <w:rPr>
                <w:rFonts w:ascii="SimHei" w:hAnsi="SimHei" w:eastAsia="SimHei" w:cs="SimHei"/>
                <w:sz w:val="22"/>
                <w:szCs w:val="22"/>
              </w:rPr>
              <w:tab/>
            </w:r>
            <w:r>
              <w:rPr>
                <w:rFonts w:ascii="SimHei" w:hAnsi="SimHei" w:eastAsia="SimHei" w:cs="SimHei"/>
                <w:sz w:val="22"/>
                <w:szCs w:val="22"/>
                <w:spacing w:val="-78"/>
              </w:rPr>
              <w:t xml:space="preserve"> </w:t>
            </w:r>
            <w:r>
              <w:rPr>
                <w:rFonts w:ascii="Cambria" w:hAnsi="Cambria" w:eastAsia="Cambria" w:cs="Cambria"/>
                <w:sz w:val="22"/>
                <w:szCs w:val="22"/>
                <w:spacing w:val="-13"/>
              </w:rPr>
              <w:t>I</w:t>
            </w:r>
          </w:hyperlink>
        </w:p>
        <w:p>
          <w:pPr>
            <w:ind w:left="22"/>
            <w:spacing w:before="289" w:line="200" w:lineRule="auto"/>
            <w:tabs>
              <w:tab w:val="right" w:leader="dot" w:pos="9342"/>
            </w:tabs>
            <w:rPr>
              <w:rFonts w:ascii="Cambria" w:hAnsi="Cambria" w:eastAsia="Cambria" w:cs="Cambria"/>
              <w:sz w:val="22"/>
              <w:szCs w:val="22"/>
            </w:rPr>
          </w:pPr>
          <w:hyperlink w:history="true" w:anchor="bookmark2">
            <w:r>
              <w:rPr>
                <w:rFonts w:ascii="Times New Roman" w:hAnsi="Times New Roman" w:eastAsia="Times New Roman" w:cs="Times New Roman"/>
                <w:sz w:val="22"/>
                <w:szCs w:val="22"/>
                <w:spacing w:val="-12"/>
              </w:rPr>
              <w:t>1</w:t>
            </w:r>
            <w:r>
              <w:rPr>
                <w:rFonts w:ascii="Times New Roman" w:hAnsi="Times New Roman" w:eastAsia="Times New Roman" w:cs="Times New Roman"/>
                <w:sz w:val="22"/>
                <w:szCs w:val="22"/>
                <w:spacing w:val="12"/>
              </w:rPr>
              <w:t xml:space="preserve"> </w:t>
            </w:r>
            <w:r>
              <w:rPr>
                <w:rFonts w:ascii="SimHei" w:hAnsi="SimHei" w:eastAsia="SimHei" w:cs="SimHei"/>
                <w:sz w:val="22"/>
                <w:szCs w:val="22"/>
                <w:spacing w:val="-12"/>
              </w:rPr>
              <w:t>范围</w:t>
            </w:r>
            <w:r>
              <w:rPr>
                <w:rFonts w:ascii="SimHei" w:hAnsi="SimHei" w:eastAsia="SimHei" w:cs="SimHei"/>
                <w:sz w:val="22"/>
                <w:szCs w:val="22"/>
                <w:spacing w:val="-70"/>
              </w:rPr>
              <w:t xml:space="preserve"> </w:t>
            </w:r>
            <w:r>
              <w:rPr>
                <w:rFonts w:ascii="SimHei" w:hAnsi="SimHei" w:eastAsia="SimHei" w:cs="SimHei"/>
                <w:sz w:val="22"/>
                <w:szCs w:val="22"/>
              </w:rPr>
              <w:tab/>
            </w:r>
            <w:r>
              <w:rPr>
                <w:rFonts w:ascii="Cambria" w:hAnsi="Cambria" w:eastAsia="Cambria" w:cs="Cambria"/>
                <w:sz w:val="22"/>
                <w:szCs w:val="22"/>
                <w:spacing w:val="15"/>
              </w:rPr>
              <w:t>1</w:t>
            </w:r>
          </w:hyperlink>
        </w:p>
        <w:p>
          <w:pPr>
            <w:ind w:left="1"/>
            <w:spacing w:before="289" w:line="200" w:lineRule="auto"/>
            <w:tabs>
              <w:tab w:val="right" w:leader="dot" w:pos="9342"/>
            </w:tabs>
            <w:rPr>
              <w:rFonts w:ascii="Cambria" w:hAnsi="Cambria" w:eastAsia="Cambria" w:cs="Cambria"/>
              <w:sz w:val="22"/>
              <w:szCs w:val="22"/>
            </w:rPr>
          </w:pPr>
          <w:hyperlink w:history="true" w:anchor="bookmark3">
            <w:r>
              <w:rPr>
                <w:rFonts w:ascii="Times New Roman" w:hAnsi="Times New Roman" w:eastAsia="Times New Roman" w:cs="Times New Roman"/>
                <w:sz w:val="22"/>
                <w:szCs w:val="22"/>
                <w:spacing w:val="-1"/>
              </w:rPr>
              <w:t>2 </w:t>
            </w:r>
            <w:r>
              <w:rPr>
                <w:rFonts w:ascii="SimHei" w:hAnsi="SimHei" w:eastAsia="SimHei" w:cs="SimHei"/>
                <w:sz w:val="22"/>
                <w:szCs w:val="22"/>
                <w:spacing w:val="-1"/>
              </w:rPr>
              <w:t>规范性引用文件</w:t>
            </w:r>
            <w:r>
              <w:rPr>
                <w:rFonts w:ascii="SimHei" w:hAnsi="SimHei" w:eastAsia="SimHei" w:cs="SimHei"/>
                <w:sz w:val="22"/>
                <w:szCs w:val="22"/>
                <w:spacing w:val="-70"/>
              </w:rPr>
              <w:t xml:space="preserve"> </w:t>
            </w:r>
            <w:r>
              <w:rPr>
                <w:rFonts w:ascii="SimHei" w:hAnsi="SimHei" w:eastAsia="SimHei" w:cs="SimHei"/>
                <w:sz w:val="22"/>
                <w:szCs w:val="22"/>
              </w:rPr>
              <w:tab/>
            </w:r>
            <w:r>
              <w:rPr>
                <w:rFonts w:ascii="Cambria" w:hAnsi="Cambria" w:eastAsia="Cambria" w:cs="Cambria"/>
                <w:sz w:val="22"/>
                <w:szCs w:val="22"/>
                <w:spacing w:val="15"/>
              </w:rPr>
              <w:t>1</w:t>
            </w:r>
          </w:hyperlink>
        </w:p>
        <w:p>
          <w:pPr>
            <w:ind w:left="5"/>
            <w:spacing w:before="289" w:line="200" w:lineRule="auto"/>
            <w:tabs>
              <w:tab w:val="right" w:leader="dot" w:pos="9342"/>
            </w:tabs>
            <w:rPr>
              <w:rFonts w:ascii="Cambria" w:hAnsi="Cambria" w:eastAsia="Cambria" w:cs="Cambria"/>
              <w:sz w:val="22"/>
              <w:szCs w:val="22"/>
            </w:rPr>
          </w:pPr>
          <w:hyperlink w:history="true" w:anchor="bookmark4">
            <w:r>
              <w:rPr>
                <w:rFonts w:ascii="Times New Roman" w:hAnsi="Times New Roman" w:eastAsia="Times New Roman" w:cs="Times New Roman"/>
                <w:sz w:val="22"/>
                <w:szCs w:val="22"/>
                <w:spacing w:val="-1"/>
              </w:rPr>
              <w:t>3 </w:t>
            </w:r>
            <w:r>
              <w:rPr>
                <w:rFonts w:ascii="SimHei" w:hAnsi="SimHei" w:eastAsia="SimHei" w:cs="SimHei"/>
                <w:sz w:val="22"/>
                <w:szCs w:val="22"/>
                <w:spacing w:val="-1"/>
              </w:rPr>
              <w:t>术语和定义</w:t>
            </w:r>
            <w:r>
              <w:rPr>
                <w:rFonts w:ascii="SimHei" w:hAnsi="SimHei" w:eastAsia="SimHei" w:cs="SimHei"/>
                <w:sz w:val="22"/>
                <w:szCs w:val="22"/>
                <w:spacing w:val="-92"/>
              </w:rPr>
              <w:t xml:space="preserve"> </w:t>
            </w:r>
            <w:r>
              <w:rPr>
                <w:rFonts w:ascii="SimHei" w:hAnsi="SimHei" w:eastAsia="SimHei" w:cs="SimHei"/>
                <w:sz w:val="22"/>
                <w:szCs w:val="22"/>
              </w:rPr>
              <w:tab/>
            </w:r>
            <w:r>
              <w:rPr>
                <w:rFonts w:ascii="Cambria" w:hAnsi="Cambria" w:eastAsia="Cambria" w:cs="Cambria"/>
                <w:sz w:val="22"/>
                <w:szCs w:val="22"/>
                <w:spacing w:val="15"/>
              </w:rPr>
              <w:t>1</w:t>
            </w:r>
          </w:hyperlink>
        </w:p>
        <w:p>
          <w:pPr>
            <w:spacing w:before="290" w:line="200" w:lineRule="auto"/>
            <w:tabs>
              <w:tab w:val="right" w:leader="dot" w:pos="9342"/>
            </w:tabs>
            <w:rPr>
              <w:rFonts w:ascii="Cambria" w:hAnsi="Cambria" w:eastAsia="Cambria" w:cs="Cambria"/>
              <w:sz w:val="22"/>
              <w:szCs w:val="22"/>
            </w:rPr>
          </w:pPr>
          <w:hyperlink w:history="true" w:anchor="bookmark5">
            <w:r>
              <w:rPr>
                <w:rFonts w:ascii="Times New Roman" w:hAnsi="Times New Roman" w:eastAsia="Times New Roman" w:cs="Times New Roman"/>
                <w:sz w:val="22"/>
                <w:szCs w:val="22"/>
                <w:spacing w:val="-1"/>
              </w:rPr>
              <w:t>4 </w:t>
            </w:r>
            <w:r>
              <w:rPr>
                <w:rFonts w:ascii="SimHei" w:hAnsi="SimHei" w:eastAsia="SimHei" w:cs="SimHei"/>
                <w:sz w:val="22"/>
                <w:szCs w:val="22"/>
                <w:spacing w:val="-1"/>
              </w:rPr>
              <w:t>组织环境</w:t>
            </w:r>
            <w:r>
              <w:rPr>
                <w:rFonts w:ascii="SimHei" w:hAnsi="SimHei" w:eastAsia="SimHei" w:cs="SimHei"/>
                <w:sz w:val="22"/>
                <w:szCs w:val="22"/>
                <w:spacing w:val="-96"/>
              </w:rPr>
              <w:t xml:space="preserve"> </w:t>
            </w:r>
            <w:r>
              <w:rPr>
                <w:rFonts w:ascii="SimHei" w:hAnsi="SimHei" w:eastAsia="SimHei" w:cs="SimHei"/>
                <w:sz w:val="22"/>
                <w:szCs w:val="22"/>
              </w:rPr>
              <w:tab/>
            </w:r>
            <w:r>
              <w:rPr>
                <w:rFonts w:ascii="Cambria" w:hAnsi="Cambria" w:eastAsia="Cambria" w:cs="Cambria"/>
                <w:sz w:val="22"/>
                <w:szCs w:val="22"/>
                <w:spacing w:val="15"/>
              </w:rPr>
              <w:t>3</w:t>
            </w:r>
          </w:hyperlink>
        </w:p>
        <w:p>
          <w:pPr>
            <w:ind w:left="439"/>
            <w:spacing w:before="292" w:line="200" w:lineRule="auto"/>
            <w:tabs>
              <w:tab w:val="right" w:leader="dot" w:pos="9342"/>
            </w:tabs>
            <w:rPr>
              <w:rFonts w:ascii="Cambria" w:hAnsi="Cambria" w:eastAsia="Cambria" w:cs="Cambria"/>
              <w:sz w:val="22"/>
              <w:szCs w:val="22"/>
            </w:rPr>
          </w:pPr>
          <w:hyperlink w:history="true" w:anchor="bookmark6">
            <w:r>
              <w:rPr>
                <w:rFonts w:ascii="Times New Roman" w:hAnsi="Times New Roman" w:eastAsia="Times New Roman" w:cs="Times New Roman"/>
                <w:sz w:val="22"/>
                <w:szCs w:val="22"/>
                <w:spacing w:val="-1"/>
              </w:rPr>
              <w:t>4.1 </w:t>
            </w:r>
            <w:r>
              <w:rPr>
                <w:rFonts w:ascii="SimHei" w:hAnsi="SimHei" w:eastAsia="SimHei" w:cs="SimHei"/>
                <w:sz w:val="22"/>
                <w:szCs w:val="22"/>
                <w:spacing w:val="-1"/>
              </w:rPr>
              <w:t>理解组织及其环境</w:t>
            </w:r>
            <w:r>
              <w:rPr>
                <w:rFonts w:ascii="SimHei" w:hAnsi="SimHei" w:eastAsia="SimHei" w:cs="SimHei"/>
                <w:sz w:val="22"/>
                <w:szCs w:val="22"/>
                <w:spacing w:val="-69"/>
              </w:rPr>
              <w:t xml:space="preserve"> </w:t>
            </w:r>
            <w:r>
              <w:rPr>
                <w:rFonts w:ascii="SimHei" w:hAnsi="SimHei" w:eastAsia="SimHei" w:cs="SimHei"/>
                <w:sz w:val="22"/>
                <w:szCs w:val="22"/>
              </w:rPr>
              <w:tab/>
            </w:r>
            <w:r>
              <w:rPr>
                <w:rFonts w:ascii="Cambria" w:hAnsi="Cambria" w:eastAsia="Cambria" w:cs="Cambria"/>
                <w:sz w:val="22"/>
                <w:szCs w:val="22"/>
                <w:spacing w:val="15"/>
              </w:rPr>
              <w:t>3</w:t>
            </w:r>
          </w:hyperlink>
        </w:p>
        <w:p>
          <w:pPr>
            <w:ind w:left="439"/>
            <w:spacing w:before="290" w:line="200" w:lineRule="auto"/>
            <w:tabs>
              <w:tab w:val="right" w:leader="dot" w:pos="9342"/>
            </w:tabs>
            <w:rPr>
              <w:rFonts w:ascii="Cambria" w:hAnsi="Cambria" w:eastAsia="Cambria" w:cs="Cambria"/>
              <w:sz w:val="22"/>
              <w:szCs w:val="22"/>
            </w:rPr>
          </w:pPr>
          <w:hyperlink w:history="true" w:anchor="bookmark7">
            <w:r>
              <w:rPr>
                <w:rFonts w:ascii="Times New Roman" w:hAnsi="Times New Roman" w:eastAsia="Times New Roman" w:cs="Times New Roman"/>
                <w:sz w:val="22"/>
                <w:szCs w:val="22"/>
                <w:spacing w:val="-1"/>
              </w:rPr>
              <w:t>4.2 </w:t>
            </w:r>
            <w:r>
              <w:rPr>
                <w:rFonts w:ascii="SimHei" w:hAnsi="SimHei" w:eastAsia="SimHei" w:cs="SimHei"/>
                <w:sz w:val="22"/>
                <w:szCs w:val="22"/>
                <w:spacing w:val="-1"/>
              </w:rPr>
              <w:t>理解相关方的需求和期望</w:t>
            </w:r>
            <w:r>
              <w:rPr>
                <w:rFonts w:ascii="SimHei" w:hAnsi="SimHei" w:eastAsia="SimHei" w:cs="SimHei"/>
                <w:sz w:val="22"/>
                <w:szCs w:val="22"/>
                <w:spacing w:val="-87"/>
              </w:rPr>
              <w:t xml:space="preserve"> </w:t>
            </w:r>
            <w:r>
              <w:rPr>
                <w:rFonts w:ascii="SimHei" w:hAnsi="SimHei" w:eastAsia="SimHei" w:cs="SimHei"/>
                <w:sz w:val="22"/>
                <w:szCs w:val="22"/>
              </w:rPr>
              <w:tab/>
            </w:r>
            <w:r>
              <w:rPr>
                <w:rFonts w:ascii="Cambria" w:hAnsi="Cambria" w:eastAsia="Cambria" w:cs="Cambria"/>
                <w:sz w:val="22"/>
                <w:szCs w:val="22"/>
                <w:spacing w:val="15"/>
              </w:rPr>
              <w:t>3</w:t>
            </w:r>
          </w:hyperlink>
        </w:p>
        <w:p>
          <w:pPr>
            <w:ind w:left="439"/>
            <w:spacing w:before="290" w:line="200" w:lineRule="auto"/>
            <w:tabs>
              <w:tab w:val="right" w:leader="dot" w:pos="9342"/>
            </w:tabs>
            <w:rPr>
              <w:rFonts w:ascii="Cambria" w:hAnsi="Cambria" w:eastAsia="Cambria" w:cs="Cambria"/>
              <w:sz w:val="22"/>
              <w:szCs w:val="22"/>
            </w:rPr>
          </w:pPr>
          <w:hyperlink w:history="true" w:anchor="bookmark8">
            <w:r>
              <w:rPr>
                <w:rFonts w:ascii="Times New Roman" w:hAnsi="Times New Roman" w:eastAsia="Times New Roman" w:cs="Times New Roman"/>
                <w:sz w:val="22"/>
                <w:szCs w:val="22"/>
                <w:spacing w:val="-1"/>
              </w:rPr>
              <w:t>4.3 </w:t>
            </w:r>
            <w:r>
              <w:rPr>
                <w:rFonts w:ascii="SimHei" w:hAnsi="SimHei" w:eastAsia="SimHei" w:cs="SimHei"/>
                <w:sz w:val="22"/>
                <w:szCs w:val="22"/>
                <w:spacing w:val="-1"/>
              </w:rPr>
              <w:t>确定可追溯管理体系的范围</w:t>
            </w:r>
            <w:r>
              <w:rPr>
                <w:rFonts w:ascii="SimHei" w:hAnsi="SimHei" w:eastAsia="SimHei" w:cs="SimHei"/>
                <w:sz w:val="22"/>
                <w:szCs w:val="22"/>
                <w:spacing w:val="-78"/>
              </w:rPr>
              <w:t xml:space="preserve"> </w:t>
            </w:r>
            <w:r>
              <w:rPr>
                <w:rFonts w:ascii="SimHei" w:hAnsi="SimHei" w:eastAsia="SimHei" w:cs="SimHei"/>
                <w:sz w:val="22"/>
                <w:szCs w:val="22"/>
              </w:rPr>
              <w:tab/>
            </w:r>
            <w:r>
              <w:rPr>
                <w:rFonts w:ascii="Cambria" w:hAnsi="Cambria" w:eastAsia="Cambria" w:cs="Cambria"/>
                <w:sz w:val="22"/>
                <w:szCs w:val="22"/>
                <w:spacing w:val="15"/>
              </w:rPr>
              <w:t>3</w:t>
            </w:r>
          </w:hyperlink>
        </w:p>
        <w:p>
          <w:pPr>
            <w:ind w:left="439"/>
            <w:spacing w:before="289" w:line="200" w:lineRule="auto"/>
            <w:tabs>
              <w:tab w:val="right" w:leader="dot" w:pos="9342"/>
            </w:tabs>
            <w:rPr>
              <w:rFonts w:ascii="Cambria" w:hAnsi="Cambria" w:eastAsia="Cambria" w:cs="Cambria"/>
              <w:sz w:val="22"/>
              <w:szCs w:val="22"/>
            </w:rPr>
          </w:pPr>
          <w:hyperlink w:history="true" w:anchor="bookmark9">
            <w:r>
              <w:rPr>
                <w:rFonts w:ascii="Times New Roman" w:hAnsi="Times New Roman" w:eastAsia="Times New Roman" w:cs="Times New Roman"/>
                <w:sz w:val="22"/>
                <w:szCs w:val="22"/>
                <w:spacing w:val="-1"/>
              </w:rPr>
              <w:t>4.4 </w:t>
            </w:r>
            <w:r>
              <w:rPr>
                <w:rFonts w:ascii="SimHei" w:hAnsi="SimHei" w:eastAsia="SimHei" w:cs="SimHei"/>
                <w:sz w:val="22"/>
                <w:szCs w:val="22"/>
                <w:spacing w:val="-1"/>
              </w:rPr>
              <w:t>可追溯管理体系及其过程</w:t>
            </w:r>
            <w:r>
              <w:rPr>
                <w:rFonts w:ascii="SimHei" w:hAnsi="SimHei" w:eastAsia="SimHei" w:cs="SimHei"/>
                <w:sz w:val="22"/>
                <w:szCs w:val="22"/>
                <w:spacing w:val="-87"/>
              </w:rPr>
              <w:t xml:space="preserve"> </w:t>
            </w:r>
            <w:r>
              <w:rPr>
                <w:rFonts w:ascii="SimHei" w:hAnsi="SimHei" w:eastAsia="SimHei" w:cs="SimHei"/>
                <w:sz w:val="22"/>
                <w:szCs w:val="22"/>
              </w:rPr>
              <w:tab/>
            </w:r>
            <w:r>
              <w:rPr>
                <w:rFonts w:ascii="Cambria" w:hAnsi="Cambria" w:eastAsia="Cambria" w:cs="Cambria"/>
                <w:sz w:val="22"/>
                <w:szCs w:val="22"/>
                <w:spacing w:val="15"/>
              </w:rPr>
              <w:t>3</w:t>
            </w:r>
          </w:hyperlink>
        </w:p>
        <w:p>
          <w:pPr>
            <w:ind w:left="439"/>
            <w:spacing w:before="290" w:line="200" w:lineRule="auto"/>
            <w:tabs>
              <w:tab w:val="right" w:leader="dot" w:pos="9342"/>
            </w:tabs>
            <w:rPr>
              <w:rFonts w:ascii="Cambria" w:hAnsi="Cambria" w:eastAsia="Cambria" w:cs="Cambria"/>
              <w:sz w:val="22"/>
              <w:szCs w:val="22"/>
            </w:rPr>
          </w:pPr>
          <w:hyperlink w:history="true" w:anchor="bookmark10">
            <w:r>
              <w:rPr>
                <w:rFonts w:ascii="Times New Roman" w:hAnsi="Times New Roman" w:eastAsia="Times New Roman" w:cs="Times New Roman"/>
                <w:sz w:val="22"/>
                <w:szCs w:val="22"/>
                <w:spacing w:val="-1"/>
              </w:rPr>
              <w:t>4.5 </w:t>
            </w:r>
            <w:r>
              <w:rPr>
                <w:rFonts w:ascii="SimHei" w:hAnsi="SimHei" w:eastAsia="SimHei" w:cs="SimHei"/>
                <w:sz w:val="22"/>
                <w:szCs w:val="22"/>
                <w:spacing w:val="-1"/>
              </w:rPr>
              <w:t>追溯体系建设原则</w:t>
            </w:r>
            <w:r>
              <w:rPr>
                <w:rFonts w:ascii="SimHei" w:hAnsi="SimHei" w:eastAsia="SimHei" w:cs="SimHei"/>
                <w:sz w:val="22"/>
                <w:szCs w:val="22"/>
                <w:spacing w:val="-69"/>
              </w:rPr>
              <w:t xml:space="preserve"> </w:t>
            </w:r>
            <w:r>
              <w:rPr>
                <w:rFonts w:ascii="SimHei" w:hAnsi="SimHei" w:eastAsia="SimHei" w:cs="SimHei"/>
                <w:sz w:val="22"/>
                <w:szCs w:val="22"/>
              </w:rPr>
              <w:tab/>
            </w:r>
            <w:r>
              <w:rPr>
                <w:rFonts w:ascii="Cambria" w:hAnsi="Cambria" w:eastAsia="Cambria" w:cs="Cambria"/>
                <w:sz w:val="22"/>
                <w:szCs w:val="22"/>
                <w:spacing w:val="15"/>
              </w:rPr>
              <w:t>4</w:t>
            </w:r>
          </w:hyperlink>
        </w:p>
        <w:p>
          <w:pPr>
            <w:ind w:left="7"/>
            <w:spacing w:before="290" w:line="200" w:lineRule="auto"/>
            <w:tabs>
              <w:tab w:val="right" w:leader="dot" w:pos="9342"/>
            </w:tabs>
            <w:rPr>
              <w:rFonts w:ascii="Cambria" w:hAnsi="Cambria" w:eastAsia="Cambria" w:cs="Cambria"/>
              <w:sz w:val="22"/>
              <w:szCs w:val="22"/>
            </w:rPr>
          </w:pPr>
          <w:hyperlink w:history="true" w:anchor="bookmark11">
            <w:r>
              <w:rPr>
                <w:rFonts w:ascii="Times New Roman" w:hAnsi="Times New Roman" w:eastAsia="Times New Roman" w:cs="Times New Roman"/>
                <w:sz w:val="22"/>
                <w:szCs w:val="22"/>
                <w:spacing w:val="-2"/>
              </w:rPr>
              <w:t>5 </w:t>
            </w:r>
            <w:r>
              <w:rPr>
                <w:rFonts w:ascii="SimHei" w:hAnsi="SimHei" w:eastAsia="SimHei" w:cs="SimHei"/>
                <w:sz w:val="22"/>
                <w:szCs w:val="22"/>
                <w:spacing w:val="-2"/>
              </w:rPr>
              <w:t>领导作用</w:t>
            </w:r>
            <w:r>
              <w:rPr>
                <w:rFonts w:ascii="SimHei" w:hAnsi="SimHei" w:eastAsia="SimHei" w:cs="SimHei"/>
                <w:sz w:val="22"/>
                <w:szCs w:val="22"/>
                <w:spacing w:val="-97"/>
              </w:rPr>
              <w:t xml:space="preserve"> </w:t>
            </w:r>
            <w:r>
              <w:rPr>
                <w:rFonts w:ascii="SimHei" w:hAnsi="SimHei" w:eastAsia="SimHei" w:cs="SimHei"/>
                <w:sz w:val="22"/>
                <w:szCs w:val="22"/>
              </w:rPr>
              <w:tab/>
            </w:r>
            <w:r>
              <w:rPr>
                <w:rFonts w:ascii="Cambria" w:hAnsi="Cambria" w:eastAsia="Cambria" w:cs="Cambria"/>
                <w:sz w:val="22"/>
                <w:szCs w:val="22"/>
                <w:spacing w:val="15"/>
              </w:rPr>
              <w:t>4</w:t>
            </w:r>
          </w:hyperlink>
        </w:p>
        <w:p>
          <w:pPr>
            <w:ind w:left="446"/>
            <w:spacing w:before="289" w:line="200" w:lineRule="auto"/>
            <w:tabs>
              <w:tab w:val="right" w:leader="dot" w:pos="9342"/>
            </w:tabs>
            <w:rPr>
              <w:rFonts w:ascii="Cambria" w:hAnsi="Cambria" w:eastAsia="Cambria" w:cs="Cambria"/>
              <w:sz w:val="22"/>
              <w:szCs w:val="22"/>
            </w:rPr>
          </w:pPr>
          <w:hyperlink w:history="true" w:anchor="bookmark12">
            <w:r>
              <w:rPr>
                <w:rFonts w:ascii="Times New Roman" w:hAnsi="Times New Roman" w:eastAsia="Times New Roman" w:cs="Times New Roman"/>
                <w:sz w:val="22"/>
                <w:szCs w:val="22"/>
                <w:spacing w:val="-1"/>
              </w:rPr>
              <w:t>5.1 </w:t>
            </w:r>
            <w:r>
              <w:rPr>
                <w:rFonts w:ascii="SimHei" w:hAnsi="SimHei" w:eastAsia="SimHei" w:cs="SimHei"/>
                <w:sz w:val="22"/>
                <w:szCs w:val="22"/>
                <w:spacing w:val="-1"/>
              </w:rPr>
              <w:t>领导作用和承诺</w:t>
            </w:r>
            <w:r>
              <w:rPr>
                <w:rFonts w:ascii="SimHei" w:hAnsi="SimHei" w:eastAsia="SimHei" w:cs="SimHei"/>
                <w:sz w:val="22"/>
                <w:szCs w:val="22"/>
                <w:spacing w:val="-85"/>
              </w:rPr>
              <w:t xml:space="preserve"> </w:t>
            </w:r>
            <w:r>
              <w:rPr>
                <w:rFonts w:ascii="SimHei" w:hAnsi="SimHei" w:eastAsia="SimHei" w:cs="SimHei"/>
                <w:sz w:val="22"/>
                <w:szCs w:val="22"/>
              </w:rPr>
              <w:tab/>
            </w:r>
            <w:r>
              <w:rPr>
                <w:rFonts w:ascii="Cambria" w:hAnsi="Cambria" w:eastAsia="Cambria" w:cs="Cambria"/>
                <w:sz w:val="22"/>
                <w:szCs w:val="22"/>
                <w:spacing w:val="15"/>
              </w:rPr>
              <w:t>4</w:t>
            </w:r>
          </w:hyperlink>
        </w:p>
        <w:p>
          <w:pPr>
            <w:ind w:left="446"/>
            <w:spacing w:before="290" w:line="200" w:lineRule="auto"/>
            <w:tabs>
              <w:tab w:val="right" w:leader="dot" w:pos="9342"/>
            </w:tabs>
            <w:rPr>
              <w:rFonts w:ascii="Cambria" w:hAnsi="Cambria" w:eastAsia="Cambria" w:cs="Cambria"/>
              <w:sz w:val="22"/>
              <w:szCs w:val="22"/>
            </w:rPr>
          </w:pPr>
          <w:hyperlink w:history="true" w:anchor="bookmark13">
            <w:r>
              <w:rPr>
                <w:rFonts w:ascii="Times New Roman" w:hAnsi="Times New Roman" w:eastAsia="Times New Roman" w:cs="Times New Roman"/>
                <w:sz w:val="22"/>
                <w:szCs w:val="22"/>
                <w:spacing w:val="-2"/>
              </w:rPr>
              <w:t>5.2 </w:t>
            </w:r>
            <w:r>
              <w:rPr>
                <w:rFonts w:ascii="SimHei" w:hAnsi="SimHei" w:eastAsia="SimHei" w:cs="SimHei"/>
                <w:sz w:val="22"/>
                <w:szCs w:val="22"/>
                <w:spacing w:val="-2"/>
              </w:rPr>
              <w:t>追溯方针</w:t>
            </w:r>
            <w:r>
              <w:rPr>
                <w:rFonts w:ascii="SimHei" w:hAnsi="SimHei" w:eastAsia="SimHei" w:cs="SimHei"/>
                <w:sz w:val="22"/>
                <w:szCs w:val="22"/>
                <w:spacing w:val="-59"/>
              </w:rPr>
              <w:t xml:space="preserve"> </w:t>
            </w:r>
            <w:r>
              <w:rPr>
                <w:rFonts w:ascii="SimHei" w:hAnsi="SimHei" w:eastAsia="SimHei" w:cs="SimHei"/>
                <w:sz w:val="22"/>
                <w:szCs w:val="22"/>
              </w:rPr>
              <w:tab/>
            </w:r>
            <w:r>
              <w:rPr>
                <w:rFonts w:ascii="Cambria" w:hAnsi="Cambria" w:eastAsia="Cambria" w:cs="Cambria"/>
                <w:sz w:val="22"/>
                <w:szCs w:val="22"/>
                <w:spacing w:val="15"/>
              </w:rPr>
              <w:t>4</w:t>
            </w:r>
          </w:hyperlink>
        </w:p>
        <w:p>
          <w:pPr>
            <w:ind w:left="446"/>
            <w:spacing w:before="290" w:line="200" w:lineRule="auto"/>
            <w:tabs>
              <w:tab w:val="right" w:leader="dot" w:pos="9342"/>
            </w:tabs>
            <w:rPr>
              <w:rFonts w:ascii="Cambria" w:hAnsi="Cambria" w:eastAsia="Cambria" w:cs="Cambria"/>
              <w:sz w:val="22"/>
              <w:szCs w:val="22"/>
            </w:rPr>
          </w:pPr>
          <w:hyperlink w:history="true" w:anchor="bookmark14">
            <w:r>
              <w:rPr>
                <w:rFonts w:ascii="Times New Roman" w:hAnsi="Times New Roman" w:eastAsia="Times New Roman" w:cs="Times New Roman"/>
                <w:sz w:val="22"/>
                <w:szCs w:val="22"/>
                <w:spacing w:val="-1"/>
              </w:rPr>
              <w:t>5.3 </w:t>
            </w:r>
            <w:r>
              <w:rPr>
                <w:rFonts w:ascii="SimHei" w:hAnsi="SimHei" w:eastAsia="SimHei" w:cs="SimHei"/>
                <w:sz w:val="22"/>
                <w:szCs w:val="22"/>
                <w:spacing w:val="-1"/>
              </w:rPr>
              <w:t>组织的角色、职责和权限</w:t>
            </w:r>
            <w:r>
              <w:rPr>
                <w:rFonts w:ascii="SimHei" w:hAnsi="SimHei" w:eastAsia="SimHei" w:cs="SimHei"/>
                <w:sz w:val="22"/>
                <w:szCs w:val="22"/>
                <w:spacing w:val="-94"/>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5"/>
            <w:spacing w:before="290" w:line="200" w:lineRule="auto"/>
            <w:tabs>
              <w:tab w:val="right" w:leader="dot" w:pos="9342"/>
            </w:tabs>
            <w:rPr>
              <w:rFonts w:ascii="Cambria" w:hAnsi="Cambria" w:eastAsia="Cambria" w:cs="Cambria"/>
              <w:sz w:val="22"/>
              <w:szCs w:val="22"/>
            </w:rPr>
          </w:pPr>
          <w:hyperlink w:history="true" w:anchor="bookmark15">
            <w:r>
              <w:rPr>
                <w:rFonts w:ascii="Times New Roman" w:hAnsi="Times New Roman" w:eastAsia="Times New Roman" w:cs="Times New Roman"/>
                <w:sz w:val="22"/>
                <w:szCs w:val="22"/>
                <w:spacing w:val="-6"/>
              </w:rPr>
              <w:t>6</w:t>
            </w:r>
            <w:r>
              <w:rPr>
                <w:rFonts w:ascii="Times New Roman" w:hAnsi="Times New Roman" w:eastAsia="Times New Roman" w:cs="Times New Roman"/>
                <w:sz w:val="22"/>
                <w:szCs w:val="22"/>
                <w:spacing w:val="9"/>
              </w:rPr>
              <w:t xml:space="preserve"> </w:t>
            </w:r>
            <w:r>
              <w:rPr>
                <w:rFonts w:ascii="SimHei" w:hAnsi="SimHei" w:eastAsia="SimHei" w:cs="SimHei"/>
                <w:sz w:val="22"/>
                <w:szCs w:val="22"/>
                <w:spacing w:val="-6"/>
              </w:rPr>
              <w:t>策划</w:t>
            </w:r>
            <w:r>
              <w:rPr>
                <w:rFonts w:ascii="SimHei" w:hAnsi="SimHei" w:eastAsia="SimHei" w:cs="SimHei"/>
                <w:sz w:val="22"/>
                <w:szCs w:val="22"/>
                <w:spacing w:val="-69"/>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445"/>
            <w:spacing w:before="289" w:line="200" w:lineRule="auto"/>
            <w:tabs>
              <w:tab w:val="right" w:leader="dot" w:pos="9342"/>
            </w:tabs>
            <w:rPr>
              <w:rFonts w:ascii="Cambria" w:hAnsi="Cambria" w:eastAsia="Cambria" w:cs="Cambria"/>
              <w:sz w:val="22"/>
              <w:szCs w:val="22"/>
            </w:rPr>
          </w:pPr>
          <w:hyperlink w:history="true" w:anchor="bookmark16">
            <w:r>
              <w:rPr>
                <w:rFonts w:ascii="Times New Roman" w:hAnsi="Times New Roman" w:eastAsia="Times New Roman" w:cs="Times New Roman"/>
                <w:sz w:val="22"/>
                <w:szCs w:val="22"/>
                <w:spacing w:val="-1"/>
              </w:rPr>
              <w:t>6.1 </w:t>
            </w:r>
            <w:r>
              <w:rPr>
                <w:rFonts w:ascii="SimHei" w:hAnsi="SimHei" w:eastAsia="SimHei" w:cs="SimHei"/>
                <w:sz w:val="22"/>
                <w:szCs w:val="22"/>
                <w:spacing w:val="-1"/>
              </w:rPr>
              <w:t>应对风险和机遇的措施</w:t>
            </w:r>
            <w:r>
              <w:rPr>
                <w:rFonts w:ascii="SimHei" w:hAnsi="SimHei" w:eastAsia="SimHei" w:cs="SimHei"/>
                <w:sz w:val="22"/>
                <w:szCs w:val="22"/>
                <w:spacing w:val="-57"/>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445"/>
            <w:spacing w:before="290" w:line="200" w:lineRule="auto"/>
            <w:tabs>
              <w:tab w:val="right" w:leader="dot" w:pos="9342"/>
            </w:tabs>
            <w:rPr>
              <w:rFonts w:ascii="Cambria" w:hAnsi="Cambria" w:eastAsia="Cambria" w:cs="Cambria"/>
              <w:sz w:val="22"/>
              <w:szCs w:val="22"/>
            </w:rPr>
          </w:pPr>
          <w:hyperlink w:history="true" w:anchor="bookmark17">
            <w:r>
              <w:rPr>
                <w:rFonts w:ascii="Times New Roman" w:hAnsi="Times New Roman" w:eastAsia="Times New Roman" w:cs="Times New Roman"/>
                <w:sz w:val="22"/>
                <w:szCs w:val="22"/>
                <w:spacing w:val="-1"/>
              </w:rPr>
              <w:t>6.2 </w:t>
            </w:r>
            <w:r>
              <w:rPr>
                <w:rFonts w:ascii="SimHei" w:hAnsi="SimHei" w:eastAsia="SimHei" w:cs="SimHei"/>
                <w:sz w:val="22"/>
                <w:szCs w:val="22"/>
                <w:spacing w:val="-1"/>
              </w:rPr>
              <w:t>追溯目标及其实现的策划</w:t>
            </w:r>
            <w:r>
              <w:rPr>
                <w:rFonts w:ascii="SimHei" w:hAnsi="SimHei" w:eastAsia="SimHei" w:cs="SimHei"/>
                <w:sz w:val="22"/>
                <w:szCs w:val="22"/>
                <w:spacing w:val="-93"/>
              </w:rPr>
              <w:t xml:space="preserve"> </w:t>
            </w:r>
            <w:r>
              <w:rPr>
                <w:rFonts w:ascii="SimHei" w:hAnsi="SimHei" w:eastAsia="SimHei" w:cs="SimHei"/>
                <w:sz w:val="22"/>
                <w:szCs w:val="22"/>
              </w:rPr>
              <w:tab/>
            </w:r>
            <w:r>
              <w:rPr>
                <w:rFonts w:ascii="Cambria" w:hAnsi="Cambria" w:eastAsia="Cambria" w:cs="Cambria"/>
                <w:sz w:val="22"/>
                <w:szCs w:val="22"/>
                <w:spacing w:val="15"/>
              </w:rPr>
              <w:t>5</w:t>
            </w:r>
          </w:hyperlink>
        </w:p>
        <w:p>
          <w:pPr>
            <w:ind w:left="445"/>
            <w:spacing w:before="290" w:line="200" w:lineRule="auto"/>
            <w:tabs>
              <w:tab w:val="right" w:leader="dot" w:pos="9342"/>
            </w:tabs>
            <w:rPr>
              <w:rFonts w:ascii="Cambria" w:hAnsi="Cambria" w:eastAsia="Cambria" w:cs="Cambria"/>
              <w:sz w:val="22"/>
              <w:szCs w:val="22"/>
            </w:rPr>
          </w:pPr>
          <w:hyperlink w:history="true" w:anchor="bookmark18">
            <w:r>
              <w:rPr>
                <w:rFonts w:ascii="Times New Roman" w:hAnsi="Times New Roman" w:eastAsia="Times New Roman" w:cs="Times New Roman"/>
                <w:sz w:val="22"/>
                <w:szCs w:val="22"/>
                <w:spacing w:val="-1"/>
              </w:rPr>
              <w:t>6.3 </w:t>
            </w:r>
            <w:r>
              <w:rPr>
                <w:rFonts w:ascii="SimHei" w:hAnsi="SimHei" w:eastAsia="SimHei" w:cs="SimHei"/>
                <w:sz w:val="22"/>
                <w:szCs w:val="22"/>
                <w:spacing w:val="-1"/>
              </w:rPr>
              <w:t>追溯体系的策划、设计和开发</w:t>
            </w:r>
            <w:r>
              <w:rPr>
                <w:rFonts w:ascii="SimHei" w:hAnsi="SimHei" w:eastAsia="SimHei" w:cs="SimHei"/>
                <w:sz w:val="22"/>
                <w:szCs w:val="22"/>
                <w:spacing w:val="-75"/>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4"/>
            <w:spacing w:before="290" w:line="200" w:lineRule="auto"/>
            <w:tabs>
              <w:tab w:val="right" w:leader="dot" w:pos="9342"/>
            </w:tabs>
            <w:rPr>
              <w:rFonts w:ascii="Cambria" w:hAnsi="Cambria" w:eastAsia="Cambria" w:cs="Cambria"/>
              <w:sz w:val="22"/>
              <w:szCs w:val="22"/>
            </w:rPr>
          </w:pPr>
          <w:hyperlink w:history="true" w:anchor="bookmark19">
            <w:r>
              <w:rPr>
                <w:rFonts w:ascii="Times New Roman" w:hAnsi="Times New Roman" w:eastAsia="Times New Roman" w:cs="Times New Roman"/>
                <w:sz w:val="22"/>
                <w:szCs w:val="22"/>
                <w:spacing w:val="-8"/>
              </w:rPr>
              <w:t>7</w:t>
            </w:r>
            <w:r>
              <w:rPr>
                <w:rFonts w:ascii="Times New Roman" w:hAnsi="Times New Roman" w:eastAsia="Times New Roman" w:cs="Times New Roman"/>
                <w:sz w:val="22"/>
                <w:szCs w:val="22"/>
                <w:spacing w:val="17"/>
              </w:rPr>
              <w:t xml:space="preserve"> </w:t>
            </w:r>
            <w:r>
              <w:rPr>
                <w:rFonts w:ascii="SimHei" w:hAnsi="SimHei" w:eastAsia="SimHei" w:cs="SimHei"/>
                <w:sz w:val="22"/>
                <w:szCs w:val="22"/>
                <w:spacing w:val="-8"/>
              </w:rPr>
              <w:t>支持</w:t>
            </w:r>
            <w:r>
              <w:rPr>
                <w:rFonts w:ascii="SimHei" w:hAnsi="SimHei" w:eastAsia="SimHei" w:cs="SimHei"/>
                <w:sz w:val="22"/>
                <w:szCs w:val="22"/>
                <w:spacing w:val="-70"/>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443"/>
            <w:spacing w:before="290" w:line="200" w:lineRule="auto"/>
            <w:tabs>
              <w:tab w:val="right" w:leader="dot" w:pos="9342"/>
            </w:tabs>
            <w:rPr>
              <w:rFonts w:ascii="Cambria" w:hAnsi="Cambria" w:eastAsia="Cambria" w:cs="Cambria"/>
              <w:sz w:val="22"/>
              <w:szCs w:val="22"/>
            </w:rPr>
          </w:pPr>
          <w:hyperlink w:history="true" w:anchor="bookmark20">
            <w:r>
              <w:rPr>
                <w:rFonts w:ascii="Times New Roman" w:hAnsi="Times New Roman" w:eastAsia="Times New Roman" w:cs="Times New Roman"/>
                <w:sz w:val="22"/>
                <w:szCs w:val="22"/>
                <w:spacing w:val="-5"/>
              </w:rPr>
              <w:t>7.1</w:t>
            </w:r>
            <w:r>
              <w:rPr>
                <w:rFonts w:ascii="Times New Roman" w:hAnsi="Times New Roman" w:eastAsia="Times New Roman" w:cs="Times New Roman"/>
                <w:sz w:val="22"/>
                <w:szCs w:val="22"/>
                <w:spacing w:val="18"/>
                <w:w w:val="101"/>
              </w:rPr>
              <w:t xml:space="preserve"> </w:t>
            </w:r>
            <w:r>
              <w:rPr>
                <w:rFonts w:ascii="SimHei" w:hAnsi="SimHei" w:eastAsia="SimHei" w:cs="SimHei"/>
                <w:sz w:val="22"/>
                <w:szCs w:val="22"/>
                <w:spacing w:val="-5"/>
              </w:rPr>
              <w:t>资源</w:t>
            </w:r>
            <w:r>
              <w:rPr>
                <w:rFonts w:ascii="SimHei" w:hAnsi="SimHei" w:eastAsia="SimHei" w:cs="SimHei"/>
                <w:sz w:val="22"/>
                <w:szCs w:val="22"/>
                <w:spacing w:val="-82"/>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443"/>
            <w:spacing w:before="289" w:line="200" w:lineRule="auto"/>
            <w:tabs>
              <w:tab w:val="right" w:leader="dot" w:pos="9342"/>
            </w:tabs>
            <w:rPr>
              <w:rFonts w:ascii="Cambria" w:hAnsi="Cambria" w:eastAsia="Cambria" w:cs="Cambria"/>
              <w:sz w:val="22"/>
              <w:szCs w:val="22"/>
            </w:rPr>
          </w:pPr>
          <w:hyperlink w:history="true" w:anchor="bookmark21">
            <w:r>
              <w:rPr>
                <w:rFonts w:ascii="Times New Roman" w:hAnsi="Times New Roman" w:eastAsia="Times New Roman" w:cs="Times New Roman"/>
                <w:sz w:val="22"/>
                <w:szCs w:val="22"/>
                <w:spacing w:val="-5"/>
              </w:rPr>
              <w:t>7.2</w:t>
            </w:r>
            <w:r>
              <w:rPr>
                <w:rFonts w:ascii="Times New Roman" w:hAnsi="Times New Roman" w:eastAsia="Times New Roman" w:cs="Times New Roman"/>
                <w:sz w:val="22"/>
                <w:szCs w:val="22"/>
                <w:spacing w:val="18"/>
                <w:w w:val="101"/>
              </w:rPr>
              <w:t xml:space="preserve"> </w:t>
            </w:r>
            <w:r>
              <w:rPr>
                <w:rFonts w:ascii="SimHei" w:hAnsi="SimHei" w:eastAsia="SimHei" w:cs="SimHei"/>
                <w:sz w:val="22"/>
                <w:szCs w:val="22"/>
                <w:spacing w:val="-5"/>
              </w:rPr>
              <w:t>能力</w:t>
            </w:r>
            <w:r>
              <w:rPr>
                <w:rFonts w:ascii="SimHei" w:hAnsi="SimHei" w:eastAsia="SimHei" w:cs="SimHei"/>
                <w:sz w:val="22"/>
                <w:szCs w:val="22"/>
                <w:spacing w:val="-82"/>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443"/>
            <w:spacing w:before="290" w:line="200" w:lineRule="auto"/>
            <w:tabs>
              <w:tab w:val="right" w:leader="dot" w:pos="9342"/>
            </w:tabs>
            <w:rPr>
              <w:rFonts w:ascii="Cambria" w:hAnsi="Cambria" w:eastAsia="Cambria" w:cs="Cambria"/>
              <w:sz w:val="22"/>
              <w:szCs w:val="22"/>
            </w:rPr>
          </w:pPr>
          <w:hyperlink w:history="true" w:anchor="bookmark22">
            <w:r>
              <w:rPr>
                <w:rFonts w:ascii="Times New Roman" w:hAnsi="Times New Roman" w:eastAsia="Times New Roman" w:cs="Times New Roman"/>
                <w:sz w:val="22"/>
                <w:szCs w:val="22"/>
                <w:spacing w:val="-4"/>
              </w:rPr>
              <w:t>7.3</w:t>
            </w:r>
            <w:r>
              <w:rPr>
                <w:rFonts w:ascii="Times New Roman" w:hAnsi="Times New Roman" w:eastAsia="Times New Roman" w:cs="Times New Roman"/>
                <w:sz w:val="22"/>
                <w:szCs w:val="22"/>
                <w:spacing w:val="13"/>
              </w:rPr>
              <w:t xml:space="preserve"> </w:t>
            </w:r>
            <w:r>
              <w:rPr>
                <w:rFonts w:ascii="SimHei" w:hAnsi="SimHei" w:eastAsia="SimHei" w:cs="SimHei"/>
                <w:sz w:val="22"/>
                <w:szCs w:val="22"/>
                <w:spacing w:val="-4"/>
              </w:rPr>
              <w:t>意识</w:t>
            </w:r>
            <w:r>
              <w:rPr>
                <w:rFonts w:ascii="SimHei" w:hAnsi="SimHei" w:eastAsia="SimHei" w:cs="SimHei"/>
                <w:sz w:val="22"/>
                <w:szCs w:val="22"/>
                <w:spacing w:val="-81"/>
              </w:rPr>
              <w:t xml:space="preserve"> </w:t>
            </w:r>
            <w:r>
              <w:rPr>
                <w:rFonts w:ascii="SimHei" w:hAnsi="SimHei" w:eastAsia="SimHei" w:cs="SimHei"/>
                <w:sz w:val="22"/>
                <w:szCs w:val="22"/>
              </w:rPr>
              <w:tab/>
            </w:r>
            <w:r>
              <w:rPr>
                <w:rFonts w:ascii="Cambria" w:hAnsi="Cambria" w:eastAsia="Cambria" w:cs="Cambria"/>
                <w:sz w:val="22"/>
                <w:szCs w:val="22"/>
                <w:spacing w:val="15"/>
              </w:rPr>
              <w:t>6</w:t>
            </w:r>
          </w:hyperlink>
        </w:p>
        <w:p>
          <w:pPr>
            <w:ind w:left="443"/>
            <w:spacing w:before="290" w:line="200" w:lineRule="auto"/>
            <w:tabs>
              <w:tab w:val="right" w:leader="dot" w:pos="9342"/>
            </w:tabs>
            <w:rPr>
              <w:rFonts w:ascii="Cambria" w:hAnsi="Cambria" w:eastAsia="Cambria" w:cs="Cambria"/>
              <w:sz w:val="22"/>
              <w:szCs w:val="22"/>
            </w:rPr>
          </w:pPr>
          <w:hyperlink w:history="true" w:anchor="bookmark23">
            <w:r>
              <w:rPr>
                <w:rFonts w:ascii="Times New Roman" w:hAnsi="Times New Roman" w:eastAsia="Times New Roman" w:cs="Times New Roman"/>
                <w:sz w:val="22"/>
                <w:szCs w:val="22"/>
                <w:spacing w:val="-3"/>
              </w:rPr>
              <w:t>7.4</w:t>
            </w:r>
            <w:r>
              <w:rPr>
                <w:rFonts w:ascii="Times New Roman" w:hAnsi="Times New Roman" w:eastAsia="Times New Roman" w:cs="Times New Roman"/>
                <w:sz w:val="22"/>
                <w:szCs w:val="22"/>
                <w:spacing w:val="8"/>
              </w:rPr>
              <w:t xml:space="preserve"> </w:t>
            </w:r>
            <w:r>
              <w:rPr>
                <w:rFonts w:ascii="SimHei" w:hAnsi="SimHei" w:eastAsia="SimHei" w:cs="SimHei"/>
                <w:sz w:val="22"/>
                <w:szCs w:val="22"/>
                <w:spacing w:val="-3"/>
              </w:rPr>
              <w:t>沟通</w:t>
            </w:r>
            <w:r>
              <w:rPr>
                <w:rFonts w:ascii="SimHei" w:hAnsi="SimHei" w:eastAsia="SimHei" w:cs="SimHei"/>
                <w:sz w:val="22"/>
                <w:szCs w:val="22"/>
                <w:spacing w:val="-81"/>
              </w:rPr>
              <w:t xml:space="preserve"> </w:t>
            </w:r>
            <w:r>
              <w:rPr>
                <w:rFonts w:ascii="SimHei" w:hAnsi="SimHei" w:eastAsia="SimHei" w:cs="SimHei"/>
                <w:sz w:val="22"/>
                <w:szCs w:val="22"/>
              </w:rPr>
              <w:tab/>
            </w:r>
            <w:r>
              <w:rPr>
                <w:rFonts w:ascii="Cambria" w:hAnsi="Cambria" w:eastAsia="Cambria" w:cs="Cambria"/>
                <w:sz w:val="22"/>
                <w:szCs w:val="22"/>
                <w:spacing w:val="15"/>
              </w:rPr>
              <w:t>7</w:t>
            </w:r>
          </w:hyperlink>
        </w:p>
        <w:p>
          <w:pPr>
            <w:ind w:left="443"/>
            <w:spacing w:before="289" w:line="200" w:lineRule="auto"/>
            <w:tabs>
              <w:tab w:val="right" w:leader="dot" w:pos="9342"/>
            </w:tabs>
            <w:rPr>
              <w:rFonts w:ascii="Cambria" w:hAnsi="Cambria" w:eastAsia="Cambria" w:cs="Cambria"/>
              <w:sz w:val="22"/>
              <w:szCs w:val="22"/>
            </w:rPr>
          </w:pPr>
          <w:hyperlink w:history="true" w:anchor="bookmark24">
            <w:r>
              <w:rPr>
                <w:rFonts w:ascii="Times New Roman" w:hAnsi="Times New Roman" w:eastAsia="Times New Roman" w:cs="Times New Roman"/>
                <w:sz w:val="22"/>
                <w:szCs w:val="22"/>
                <w:spacing w:val="-1"/>
              </w:rPr>
              <w:t>7.5 </w:t>
            </w:r>
            <w:r>
              <w:rPr>
                <w:rFonts w:ascii="SimHei" w:hAnsi="SimHei" w:eastAsia="SimHei" w:cs="SimHei"/>
                <w:sz w:val="22"/>
                <w:szCs w:val="22"/>
                <w:spacing w:val="-1"/>
              </w:rPr>
              <w:t>成文信息</w:t>
            </w:r>
            <w:r>
              <w:rPr>
                <w:rFonts w:ascii="SimHei" w:hAnsi="SimHei" w:eastAsia="SimHei" w:cs="SimHei"/>
                <w:sz w:val="22"/>
                <w:szCs w:val="22"/>
                <w:spacing w:val="-64"/>
              </w:rPr>
              <w:t xml:space="preserve"> </w:t>
            </w:r>
            <w:r>
              <w:rPr>
                <w:rFonts w:ascii="SimHei" w:hAnsi="SimHei" w:eastAsia="SimHei" w:cs="SimHei"/>
                <w:sz w:val="22"/>
                <w:szCs w:val="22"/>
              </w:rPr>
              <w:tab/>
            </w:r>
            <w:r>
              <w:rPr>
                <w:rFonts w:ascii="Cambria" w:hAnsi="Cambria" w:eastAsia="Cambria" w:cs="Cambria"/>
                <w:sz w:val="22"/>
                <w:szCs w:val="22"/>
                <w:spacing w:val="15"/>
              </w:rPr>
              <w:t>7</w:t>
            </w:r>
          </w:hyperlink>
        </w:p>
        <w:p>
          <w:pPr>
            <w:ind w:left="9"/>
            <w:spacing w:before="290" w:line="200" w:lineRule="auto"/>
            <w:tabs>
              <w:tab w:val="right" w:leader="dot" w:pos="9342"/>
            </w:tabs>
            <w:rPr>
              <w:rFonts w:ascii="Cambria" w:hAnsi="Cambria" w:eastAsia="Cambria" w:cs="Cambria"/>
              <w:sz w:val="22"/>
              <w:szCs w:val="22"/>
            </w:rPr>
          </w:pPr>
          <w:hyperlink w:history="true" w:anchor="bookmark25">
            <w:r>
              <w:rPr>
                <w:rFonts w:ascii="Times New Roman" w:hAnsi="Times New Roman" w:eastAsia="Times New Roman" w:cs="Times New Roman"/>
                <w:sz w:val="22"/>
                <w:szCs w:val="22"/>
                <w:spacing w:val="-8"/>
              </w:rPr>
              <w:t>8</w:t>
            </w:r>
            <w:r>
              <w:rPr>
                <w:rFonts w:ascii="Times New Roman" w:hAnsi="Times New Roman" w:eastAsia="Times New Roman" w:cs="Times New Roman"/>
                <w:sz w:val="22"/>
                <w:szCs w:val="22"/>
                <w:spacing w:val="11"/>
              </w:rPr>
              <w:t xml:space="preserve"> </w:t>
            </w:r>
            <w:r>
              <w:rPr>
                <w:rFonts w:ascii="SimHei" w:hAnsi="SimHei" w:eastAsia="SimHei" w:cs="SimHei"/>
                <w:sz w:val="22"/>
                <w:szCs w:val="22"/>
                <w:spacing w:val="-8"/>
              </w:rPr>
              <w:t>运行</w:t>
            </w:r>
            <w:r>
              <w:rPr>
                <w:rFonts w:ascii="SimHei" w:hAnsi="SimHei" w:eastAsia="SimHei" w:cs="SimHei"/>
                <w:sz w:val="22"/>
                <w:szCs w:val="22"/>
                <w:spacing w:val="-69"/>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9"/>
            <w:spacing w:before="290" w:line="234" w:lineRule="auto"/>
            <w:tabs>
              <w:tab w:val="right" w:leader="dot" w:pos="9342"/>
            </w:tabs>
            <w:rPr>
              <w:rFonts w:ascii="Cambria" w:hAnsi="Cambria" w:eastAsia="Cambria" w:cs="Cambria"/>
              <w:sz w:val="22"/>
              <w:szCs w:val="22"/>
            </w:rPr>
          </w:pPr>
          <w:hyperlink w:history="true" w:anchor="bookmark26">
            <w:r>
              <w:rPr>
                <w:rFonts w:ascii="Times New Roman" w:hAnsi="Times New Roman" w:eastAsia="Times New Roman" w:cs="Times New Roman"/>
                <w:sz w:val="22"/>
                <w:szCs w:val="22"/>
                <w:spacing w:val="-1"/>
              </w:rPr>
              <w:t>8.1 </w:t>
            </w:r>
            <w:r>
              <w:rPr>
                <w:rFonts w:ascii="SimHei" w:hAnsi="SimHei" w:eastAsia="SimHei" w:cs="SimHei"/>
                <w:sz w:val="22"/>
                <w:szCs w:val="22"/>
                <w:spacing w:val="-1"/>
              </w:rPr>
              <w:t>运行的策划和控制</w:t>
            </w:r>
            <w:r>
              <w:rPr>
                <w:rFonts w:ascii="SimHei" w:hAnsi="SimHei" w:eastAsia="SimHei" w:cs="SimHei"/>
                <w:sz w:val="22"/>
                <w:szCs w:val="22"/>
                <w:spacing w:val="-79"/>
              </w:rPr>
              <w:t xml:space="preserve"> </w:t>
            </w:r>
            <w:r>
              <w:rPr>
                <w:rFonts w:ascii="SimHei" w:hAnsi="SimHei" w:eastAsia="SimHei" w:cs="SimHei"/>
                <w:sz w:val="22"/>
                <w:szCs w:val="22"/>
              </w:rPr>
              <w:tab/>
            </w:r>
            <w:r>
              <w:rPr>
                <w:rFonts w:ascii="Cambria" w:hAnsi="Cambria" w:eastAsia="Cambria" w:cs="Cambria"/>
                <w:sz w:val="22"/>
                <w:szCs w:val="22"/>
                <w:spacing w:val="15"/>
              </w:rPr>
              <w:t>8</w:t>
            </w:r>
          </w:hyperlink>
        </w:p>
      </w:sdtContent>
    </w:sdt>
    <w:p>
      <w:pPr>
        <w:spacing w:line="234" w:lineRule="auto"/>
        <w:sectPr>
          <w:headerReference w:type="default" r:id="rId2"/>
          <w:footerReference w:type="default" r:id="rId3"/>
          <w:pgSz w:w="11907" w:h="16839"/>
          <w:pgMar w:top="1028" w:right="1133" w:bottom="880" w:left="1420" w:header="703" w:footer="678" w:gutter="0"/>
        </w:sectPr>
        <w:rPr>
          <w:rFonts w:ascii="Cambria" w:hAnsi="Cambria" w:eastAsia="Cambria" w:cs="Cambria"/>
          <w:sz w:val="22"/>
          <w:szCs w:val="22"/>
        </w:rPr>
      </w:pPr>
    </w:p>
    <w:sdt>
      <w:sdtPr>
        <w:rPr>
          <w:rFonts w:ascii="Times New Roman" w:hAnsi="Times New Roman" w:eastAsia="Times New Roman" w:cs="Times New Roman"/>
          <w:sz w:val="22"/>
          <w:szCs w:val="22"/>
        </w:rPr>
        <w:docPartObj>
          <w:docPartGallery w:val="Table of Contents"/>
          <w:docPartUnique/>
        </w:docPartObj>
      </w:sdtPr>
      <w:sdtEndPr>
        <w:rPr>
          <w:rFonts w:ascii="Cambria" w:hAnsi="Cambria" w:eastAsia="Cambria" w:cs="Cambria"/>
          <w:sz w:val="22"/>
          <w:szCs w:val="22"/>
        </w:rPr>
      </w:sdtEndPr>
      <w:sdtContent>
        <w:p>
          <w:pPr>
            <w:ind w:left="444"/>
            <w:spacing w:before="137" w:line="200" w:lineRule="auto"/>
            <w:tabs>
              <w:tab w:val="right" w:leader="dot" w:pos="9337"/>
            </w:tabs>
            <w:rPr>
              <w:rFonts w:ascii="Cambria" w:hAnsi="Cambria" w:eastAsia="Cambria" w:cs="Cambria"/>
              <w:sz w:val="22"/>
              <w:szCs w:val="22"/>
            </w:rPr>
          </w:pPr>
          <w:hyperlink w:history="true" w:anchor="bookmark27">
            <w:r>
              <w:rPr>
                <w:rFonts w:ascii="Times New Roman" w:hAnsi="Times New Roman" w:eastAsia="Times New Roman" w:cs="Times New Roman"/>
                <w:sz w:val="22"/>
                <w:szCs w:val="22"/>
                <w:spacing w:val="-1"/>
              </w:rPr>
              <w:t>8.2 </w:t>
            </w:r>
            <w:r>
              <w:rPr>
                <w:rFonts w:ascii="SimHei" w:hAnsi="SimHei" w:eastAsia="SimHei" w:cs="SimHei"/>
                <w:sz w:val="22"/>
                <w:szCs w:val="22"/>
                <w:spacing w:val="-1"/>
              </w:rPr>
              <w:t>追溯单元与追溯码</w:t>
            </w:r>
            <w:r>
              <w:rPr>
                <w:rFonts w:ascii="SimHei" w:hAnsi="SimHei" w:eastAsia="SimHei" w:cs="SimHei"/>
                <w:sz w:val="22"/>
                <w:szCs w:val="22"/>
                <w:spacing w:val="-79"/>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4"/>
            <w:spacing w:before="292" w:line="200" w:lineRule="auto"/>
            <w:tabs>
              <w:tab w:val="right" w:leader="dot" w:pos="9337"/>
            </w:tabs>
            <w:rPr>
              <w:rFonts w:ascii="Cambria" w:hAnsi="Cambria" w:eastAsia="Cambria" w:cs="Cambria"/>
              <w:sz w:val="22"/>
              <w:szCs w:val="22"/>
            </w:rPr>
          </w:pPr>
          <w:hyperlink w:history="true" w:anchor="bookmark28">
            <w:r>
              <w:rPr>
                <w:rFonts w:ascii="Times New Roman" w:hAnsi="Times New Roman" w:eastAsia="Times New Roman" w:cs="Times New Roman"/>
                <w:sz w:val="22"/>
                <w:szCs w:val="22"/>
                <w:spacing w:val="-2"/>
              </w:rPr>
              <w:t>8.3 </w:t>
            </w:r>
            <w:r>
              <w:rPr>
                <w:rFonts w:ascii="SimHei" w:hAnsi="SimHei" w:eastAsia="SimHei" w:cs="SimHei"/>
                <w:sz w:val="22"/>
                <w:szCs w:val="22"/>
                <w:spacing w:val="-2"/>
              </w:rPr>
              <w:t>追溯信息</w:t>
            </w:r>
            <w:r>
              <w:rPr>
                <w:rFonts w:ascii="SimHei" w:hAnsi="SimHei" w:eastAsia="SimHei" w:cs="SimHei"/>
                <w:sz w:val="22"/>
                <w:szCs w:val="22"/>
                <w:spacing w:val="-62"/>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4"/>
            <w:spacing w:before="289" w:line="200" w:lineRule="auto"/>
            <w:tabs>
              <w:tab w:val="right" w:leader="dot" w:pos="9337"/>
            </w:tabs>
            <w:rPr>
              <w:rFonts w:ascii="Cambria" w:hAnsi="Cambria" w:eastAsia="Cambria" w:cs="Cambria"/>
              <w:sz w:val="22"/>
              <w:szCs w:val="22"/>
            </w:rPr>
          </w:pPr>
          <w:hyperlink w:history="true" w:anchor="bookmark29">
            <w:r>
              <w:rPr>
                <w:rFonts w:ascii="Times New Roman" w:hAnsi="Times New Roman" w:eastAsia="Times New Roman" w:cs="Times New Roman"/>
                <w:sz w:val="22"/>
                <w:szCs w:val="22"/>
                <w:spacing w:val="-1"/>
              </w:rPr>
              <w:t>8.4 </w:t>
            </w:r>
            <w:r>
              <w:rPr>
                <w:rFonts w:ascii="SimHei" w:hAnsi="SimHei" w:eastAsia="SimHei" w:cs="SimHei"/>
                <w:sz w:val="22"/>
                <w:szCs w:val="22"/>
                <w:spacing w:val="-1"/>
              </w:rPr>
              <w:t>追溯系统的运行与维护</w:t>
            </w:r>
            <w:r>
              <w:rPr>
                <w:rFonts w:ascii="SimHei" w:hAnsi="SimHei" w:eastAsia="SimHei" w:cs="SimHei"/>
                <w:sz w:val="22"/>
                <w:szCs w:val="22"/>
                <w:spacing w:val="-61"/>
              </w:rPr>
              <w:t xml:space="preserve"> </w:t>
            </w:r>
            <w:r>
              <w:rPr>
                <w:rFonts w:ascii="SimHei" w:hAnsi="SimHei" w:eastAsia="SimHei" w:cs="SimHei"/>
                <w:sz w:val="22"/>
                <w:szCs w:val="22"/>
              </w:rPr>
              <w:tab/>
            </w:r>
            <w:r>
              <w:rPr>
                <w:rFonts w:ascii="Cambria" w:hAnsi="Cambria" w:eastAsia="Cambria" w:cs="Cambria"/>
                <w:sz w:val="22"/>
                <w:szCs w:val="22"/>
                <w:spacing w:val="15"/>
              </w:rPr>
              <w:t>8</w:t>
            </w:r>
          </w:hyperlink>
        </w:p>
        <w:p>
          <w:pPr>
            <w:ind w:left="444"/>
            <w:spacing w:before="289" w:line="200" w:lineRule="auto"/>
            <w:tabs>
              <w:tab w:val="right" w:leader="dot" w:pos="9337"/>
            </w:tabs>
            <w:rPr>
              <w:rFonts w:ascii="Cambria" w:hAnsi="Cambria" w:eastAsia="Cambria" w:cs="Cambria"/>
              <w:sz w:val="22"/>
              <w:szCs w:val="22"/>
            </w:rPr>
          </w:pPr>
          <w:hyperlink w:history="true" w:anchor="bookmark30">
            <w:r>
              <w:rPr>
                <w:rFonts w:ascii="Times New Roman" w:hAnsi="Times New Roman" w:eastAsia="Times New Roman" w:cs="Times New Roman"/>
                <w:sz w:val="22"/>
                <w:szCs w:val="22"/>
                <w:spacing w:val="-2"/>
              </w:rPr>
              <w:t>8.5 </w:t>
            </w:r>
            <w:r>
              <w:rPr>
                <w:rFonts w:ascii="SimHei" w:hAnsi="SimHei" w:eastAsia="SimHei" w:cs="SimHei"/>
                <w:sz w:val="22"/>
                <w:szCs w:val="22"/>
                <w:spacing w:val="-2"/>
              </w:rPr>
              <w:t>追溯演练</w:t>
            </w:r>
            <w:r>
              <w:rPr>
                <w:rFonts w:ascii="SimHei" w:hAnsi="SimHei" w:eastAsia="SimHei" w:cs="SimHei"/>
                <w:sz w:val="22"/>
                <w:szCs w:val="22"/>
                <w:spacing w:val="-62"/>
              </w:rPr>
              <w:t xml:space="preserve"> </w:t>
            </w:r>
            <w:r>
              <w:rPr>
                <w:rFonts w:ascii="SimHei" w:hAnsi="SimHei" w:eastAsia="SimHei" w:cs="SimHei"/>
                <w:sz w:val="22"/>
                <w:szCs w:val="22"/>
              </w:rPr>
              <w:tab/>
            </w:r>
            <w:r>
              <w:rPr>
                <w:rFonts w:ascii="Cambria" w:hAnsi="Cambria" w:eastAsia="Cambria" w:cs="Cambria"/>
                <w:sz w:val="22"/>
                <w:szCs w:val="22"/>
                <w:spacing w:val="15"/>
              </w:rPr>
              <w:t>9</w:t>
            </w:r>
          </w:hyperlink>
        </w:p>
        <w:p>
          <w:pPr>
            <w:ind w:left="444"/>
            <w:spacing w:before="290" w:line="200" w:lineRule="auto"/>
            <w:tabs>
              <w:tab w:val="right" w:leader="dot" w:pos="9337"/>
            </w:tabs>
            <w:rPr>
              <w:rFonts w:ascii="Cambria" w:hAnsi="Cambria" w:eastAsia="Cambria" w:cs="Cambria"/>
              <w:sz w:val="22"/>
              <w:szCs w:val="22"/>
            </w:rPr>
          </w:pPr>
          <w:hyperlink w:history="true" w:anchor="bookmark31">
            <w:r>
              <w:rPr>
                <w:rFonts w:ascii="Times New Roman" w:hAnsi="Times New Roman" w:eastAsia="Times New Roman" w:cs="Times New Roman"/>
                <w:sz w:val="22"/>
                <w:szCs w:val="22"/>
                <w:spacing w:val="-4"/>
              </w:rPr>
              <w:t>8.6</w:t>
            </w:r>
            <w:r>
              <w:rPr>
                <w:rFonts w:ascii="Times New Roman" w:hAnsi="Times New Roman" w:eastAsia="Times New Roman" w:cs="Times New Roman"/>
                <w:sz w:val="22"/>
                <w:szCs w:val="22"/>
                <w:spacing w:val="15"/>
              </w:rPr>
              <w:t xml:space="preserve"> </w:t>
            </w:r>
            <w:r>
              <w:rPr>
                <w:rFonts w:ascii="SimHei" w:hAnsi="SimHei" w:eastAsia="SimHei" w:cs="SimHei"/>
                <w:sz w:val="22"/>
                <w:szCs w:val="22"/>
                <w:spacing w:val="-4"/>
              </w:rPr>
              <w:t>召回管理</w:t>
            </w:r>
            <w:r>
              <w:rPr>
                <w:rFonts w:ascii="SimHei" w:hAnsi="SimHei" w:eastAsia="SimHei" w:cs="SimHei"/>
                <w:sz w:val="22"/>
                <w:szCs w:val="22"/>
                <w:spacing w:val="-65"/>
              </w:rPr>
              <w:t xml:space="preserve"> </w:t>
            </w:r>
            <w:r>
              <w:rPr>
                <w:rFonts w:ascii="SimHei" w:hAnsi="SimHei" w:eastAsia="SimHei" w:cs="SimHei"/>
                <w:sz w:val="22"/>
                <w:szCs w:val="22"/>
              </w:rPr>
              <w:tab/>
            </w:r>
            <w:r>
              <w:rPr>
                <w:rFonts w:ascii="Cambria" w:hAnsi="Cambria" w:eastAsia="Cambria" w:cs="Cambria"/>
                <w:sz w:val="22"/>
                <w:szCs w:val="22"/>
                <w:spacing w:val="15"/>
              </w:rPr>
              <w:t>9</w:t>
            </w:r>
          </w:hyperlink>
        </w:p>
        <w:p>
          <w:pPr>
            <w:ind w:left="444"/>
            <w:spacing w:before="289" w:line="200" w:lineRule="auto"/>
            <w:tabs>
              <w:tab w:val="right" w:leader="dot" w:pos="9337"/>
            </w:tabs>
            <w:rPr>
              <w:rFonts w:ascii="Cambria" w:hAnsi="Cambria" w:eastAsia="Cambria" w:cs="Cambria"/>
              <w:sz w:val="22"/>
              <w:szCs w:val="22"/>
            </w:rPr>
          </w:pPr>
          <w:hyperlink w:history="true" w:anchor="bookmark32">
            <w:r>
              <w:rPr>
                <w:rFonts w:ascii="Times New Roman" w:hAnsi="Times New Roman" w:eastAsia="Times New Roman" w:cs="Times New Roman"/>
                <w:sz w:val="22"/>
                <w:szCs w:val="22"/>
                <w:spacing w:val="-2"/>
              </w:rPr>
              <w:t>8.7 </w:t>
            </w:r>
            <w:r>
              <w:rPr>
                <w:rFonts w:ascii="SimHei" w:hAnsi="SimHei" w:eastAsia="SimHei" w:cs="SimHei"/>
                <w:sz w:val="22"/>
                <w:szCs w:val="22"/>
                <w:spacing w:val="-2"/>
              </w:rPr>
              <w:t>记录和报告</w:t>
            </w:r>
            <w:r>
              <w:rPr>
                <w:rFonts w:ascii="SimHei" w:hAnsi="SimHei" w:eastAsia="SimHei" w:cs="SimHei"/>
                <w:sz w:val="22"/>
                <w:szCs w:val="22"/>
                <w:spacing w:val="-52"/>
              </w:rPr>
              <w:t xml:space="preserve"> </w:t>
            </w:r>
            <w:r>
              <w:rPr>
                <w:rFonts w:ascii="SimHei" w:hAnsi="SimHei" w:eastAsia="SimHei" w:cs="SimHei"/>
                <w:sz w:val="22"/>
                <w:szCs w:val="22"/>
              </w:rPr>
              <w:tab/>
            </w:r>
            <w:r>
              <w:rPr>
                <w:rFonts w:ascii="Cambria" w:hAnsi="Cambria" w:eastAsia="Cambria" w:cs="Cambria"/>
                <w:sz w:val="22"/>
                <w:szCs w:val="22"/>
                <w:spacing w:val="15"/>
              </w:rPr>
              <w:t>9</w:t>
            </w:r>
          </w:hyperlink>
        </w:p>
        <w:p>
          <w:pPr>
            <w:spacing w:before="290" w:line="200" w:lineRule="auto"/>
            <w:tabs>
              <w:tab w:val="right" w:leader="dot" w:pos="9337"/>
            </w:tabs>
            <w:rPr>
              <w:rFonts w:ascii="Cambria" w:hAnsi="Cambria" w:eastAsia="Cambria" w:cs="Cambria"/>
              <w:sz w:val="22"/>
              <w:szCs w:val="22"/>
            </w:rPr>
          </w:pPr>
          <w:hyperlink w:history="true" w:anchor="bookmark33">
            <w:r>
              <w:rPr>
                <w:rFonts w:ascii="Times New Roman" w:hAnsi="Times New Roman" w:eastAsia="Times New Roman" w:cs="Times New Roman"/>
                <w:sz w:val="22"/>
                <w:szCs w:val="22"/>
                <w:spacing w:val="-4"/>
              </w:rPr>
              <w:t>9</w:t>
            </w:r>
            <w:r>
              <w:rPr>
                <w:rFonts w:ascii="Times New Roman" w:hAnsi="Times New Roman" w:eastAsia="Times New Roman" w:cs="Times New Roman"/>
                <w:sz w:val="22"/>
                <w:szCs w:val="22"/>
                <w:spacing w:val="11"/>
              </w:rPr>
              <w:t xml:space="preserve"> </w:t>
            </w:r>
            <w:r>
              <w:rPr>
                <w:rFonts w:ascii="SimHei" w:hAnsi="SimHei" w:eastAsia="SimHei" w:cs="SimHei"/>
                <w:sz w:val="22"/>
                <w:szCs w:val="22"/>
                <w:spacing w:val="-4"/>
              </w:rPr>
              <w:t>绩效评价</w:t>
            </w:r>
            <w:r>
              <w:rPr>
                <w:rFonts w:ascii="SimHei" w:hAnsi="SimHei" w:eastAsia="SimHei" w:cs="SimHei"/>
                <w:sz w:val="22"/>
                <w:szCs w:val="22"/>
                <w:spacing w:val="-98"/>
              </w:rPr>
              <w:t xml:space="preserve"> </w:t>
            </w:r>
            <w:r>
              <w:rPr>
                <w:rFonts w:ascii="SimHei" w:hAnsi="SimHei" w:eastAsia="SimHei" w:cs="SimHei"/>
                <w:sz w:val="22"/>
                <w:szCs w:val="22"/>
              </w:rPr>
              <w:tab/>
            </w:r>
            <w:r>
              <w:rPr>
                <w:rFonts w:ascii="Cambria" w:hAnsi="Cambria" w:eastAsia="Cambria" w:cs="Cambria"/>
                <w:sz w:val="22"/>
                <w:szCs w:val="22"/>
                <w:spacing w:val="15"/>
              </w:rPr>
              <w:t>9</w:t>
            </w:r>
          </w:hyperlink>
        </w:p>
        <w:p>
          <w:pPr>
            <w:ind w:left="439"/>
            <w:spacing w:before="290" w:line="200" w:lineRule="auto"/>
            <w:tabs>
              <w:tab w:val="right" w:leader="dot" w:pos="9337"/>
            </w:tabs>
            <w:rPr>
              <w:rFonts w:ascii="Cambria" w:hAnsi="Cambria" w:eastAsia="Cambria" w:cs="Cambria"/>
              <w:sz w:val="22"/>
              <w:szCs w:val="22"/>
            </w:rPr>
          </w:pPr>
          <w:hyperlink w:history="true" w:anchor="bookmark34">
            <w:r>
              <w:rPr>
                <w:rFonts w:ascii="Times New Roman" w:hAnsi="Times New Roman" w:eastAsia="Times New Roman" w:cs="Times New Roman"/>
                <w:sz w:val="22"/>
                <w:szCs w:val="22"/>
                <w:spacing w:val="-1"/>
              </w:rPr>
              <w:t>9.1 </w:t>
            </w:r>
            <w:r>
              <w:rPr>
                <w:rFonts w:ascii="SimHei" w:hAnsi="SimHei" w:eastAsia="SimHei" w:cs="SimHei"/>
                <w:sz w:val="22"/>
                <w:szCs w:val="22"/>
                <w:spacing w:val="-1"/>
              </w:rPr>
              <w:t>监视、测量、分析和评价</w:t>
            </w:r>
            <w:r>
              <w:rPr>
                <w:rFonts w:ascii="SimHei" w:hAnsi="SimHei" w:eastAsia="SimHei" w:cs="SimHei"/>
                <w:sz w:val="22"/>
                <w:szCs w:val="22"/>
                <w:spacing w:val="-93"/>
              </w:rPr>
              <w:t xml:space="preserve"> </w:t>
            </w:r>
            <w:r>
              <w:rPr>
                <w:rFonts w:ascii="SimHei" w:hAnsi="SimHei" w:eastAsia="SimHei" w:cs="SimHei"/>
                <w:sz w:val="22"/>
                <w:szCs w:val="22"/>
              </w:rPr>
              <w:tab/>
            </w:r>
            <w:r>
              <w:rPr>
                <w:rFonts w:ascii="Cambria" w:hAnsi="Cambria" w:eastAsia="Cambria" w:cs="Cambria"/>
                <w:sz w:val="22"/>
                <w:szCs w:val="22"/>
                <w:spacing w:val="15"/>
              </w:rPr>
              <w:t>9</w:t>
            </w:r>
          </w:hyperlink>
        </w:p>
        <w:p>
          <w:pPr>
            <w:ind w:left="439"/>
            <w:spacing w:before="290" w:line="200" w:lineRule="auto"/>
            <w:tabs>
              <w:tab w:val="right" w:leader="dot" w:pos="9337"/>
            </w:tabs>
            <w:rPr>
              <w:rFonts w:ascii="Cambria" w:hAnsi="Cambria" w:eastAsia="Cambria" w:cs="Cambria"/>
              <w:sz w:val="22"/>
              <w:szCs w:val="22"/>
            </w:rPr>
          </w:pPr>
          <w:hyperlink w:history="true" w:anchor="bookmark35">
            <w:r>
              <w:rPr>
                <w:rFonts w:ascii="Times New Roman" w:hAnsi="Times New Roman" w:eastAsia="Times New Roman" w:cs="Times New Roman"/>
                <w:sz w:val="22"/>
                <w:szCs w:val="22"/>
                <w:spacing w:val="-5"/>
              </w:rPr>
              <w:t>9.2</w:t>
            </w:r>
            <w:r>
              <w:rPr>
                <w:rFonts w:ascii="Times New Roman" w:hAnsi="Times New Roman" w:eastAsia="Times New Roman" w:cs="Times New Roman"/>
                <w:sz w:val="22"/>
                <w:szCs w:val="22"/>
                <w:spacing w:val="27"/>
              </w:rPr>
              <w:t xml:space="preserve"> </w:t>
            </w:r>
            <w:r>
              <w:rPr>
                <w:rFonts w:ascii="SimHei" w:hAnsi="SimHei" w:eastAsia="SimHei" w:cs="SimHei"/>
                <w:sz w:val="22"/>
                <w:szCs w:val="22"/>
                <w:spacing w:val="-5"/>
              </w:rPr>
              <w:t>内部审核</w:t>
            </w:r>
            <w:r>
              <w:rPr>
                <w:rFonts w:ascii="SimHei" w:hAnsi="SimHei" w:eastAsia="SimHei" w:cs="SimHei"/>
                <w:sz w:val="22"/>
                <w:szCs w:val="22"/>
                <w:spacing w:val="-65"/>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10</w:t>
            </w:r>
          </w:hyperlink>
        </w:p>
        <w:p>
          <w:pPr>
            <w:ind w:left="439"/>
            <w:spacing w:before="290" w:line="200" w:lineRule="auto"/>
            <w:tabs>
              <w:tab w:val="right" w:leader="dot" w:pos="9337"/>
            </w:tabs>
            <w:rPr>
              <w:rFonts w:ascii="Cambria" w:hAnsi="Cambria" w:eastAsia="Cambria" w:cs="Cambria"/>
              <w:sz w:val="22"/>
              <w:szCs w:val="22"/>
            </w:rPr>
          </w:pPr>
          <w:hyperlink w:history="true" w:anchor="bookmark36">
            <w:r>
              <w:rPr>
                <w:rFonts w:ascii="Times New Roman" w:hAnsi="Times New Roman" w:eastAsia="Times New Roman" w:cs="Times New Roman"/>
                <w:sz w:val="22"/>
                <w:szCs w:val="22"/>
                <w:spacing w:val="-3"/>
              </w:rPr>
              <w:t>9.3</w:t>
            </w:r>
            <w:r>
              <w:rPr>
                <w:rFonts w:ascii="Times New Roman" w:hAnsi="Times New Roman" w:eastAsia="Times New Roman" w:cs="Times New Roman"/>
                <w:sz w:val="22"/>
                <w:szCs w:val="22"/>
                <w:spacing w:val="13"/>
              </w:rPr>
              <w:t xml:space="preserve"> </w:t>
            </w:r>
            <w:r>
              <w:rPr>
                <w:rFonts w:ascii="SimHei" w:hAnsi="SimHei" w:eastAsia="SimHei" w:cs="SimHei"/>
                <w:sz w:val="22"/>
                <w:szCs w:val="22"/>
                <w:spacing w:val="-3"/>
              </w:rPr>
              <w:t>管理评审</w:t>
            </w:r>
            <w:r>
              <w:rPr>
                <w:rFonts w:ascii="SimHei" w:hAnsi="SimHei" w:eastAsia="SimHei" w:cs="SimHei"/>
                <w:sz w:val="22"/>
                <w:szCs w:val="22"/>
                <w:spacing w:val="-65"/>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10</w:t>
            </w:r>
          </w:hyperlink>
        </w:p>
        <w:p>
          <w:pPr>
            <w:ind w:left="17"/>
            <w:spacing w:before="289" w:line="200" w:lineRule="auto"/>
            <w:tabs>
              <w:tab w:val="right" w:leader="dot" w:pos="9337"/>
            </w:tabs>
            <w:rPr>
              <w:rFonts w:ascii="Cambria" w:hAnsi="Cambria" w:eastAsia="Cambria" w:cs="Cambria"/>
              <w:sz w:val="22"/>
              <w:szCs w:val="22"/>
            </w:rPr>
          </w:pPr>
          <w:hyperlink w:history="true" w:anchor="bookmark37">
            <w:r>
              <w:rPr>
                <w:rFonts w:ascii="Times New Roman" w:hAnsi="Times New Roman" w:eastAsia="Times New Roman" w:cs="Times New Roman"/>
                <w:sz w:val="22"/>
                <w:szCs w:val="22"/>
                <w:spacing w:val="-10"/>
              </w:rPr>
              <w:t>10</w:t>
            </w:r>
            <w:r>
              <w:rPr>
                <w:rFonts w:ascii="Times New Roman" w:hAnsi="Times New Roman" w:eastAsia="Times New Roman" w:cs="Times New Roman"/>
                <w:sz w:val="22"/>
                <w:szCs w:val="22"/>
                <w:spacing w:val="15"/>
                <w:w w:val="101"/>
              </w:rPr>
              <w:t xml:space="preserve"> </w:t>
            </w:r>
            <w:r>
              <w:rPr>
                <w:rFonts w:ascii="SimHei" w:hAnsi="SimHei" w:eastAsia="SimHei" w:cs="SimHei"/>
                <w:sz w:val="22"/>
                <w:szCs w:val="22"/>
                <w:spacing w:val="-10"/>
              </w:rPr>
              <w:t>改进</w:t>
            </w:r>
            <w:r>
              <w:rPr>
                <w:rFonts w:ascii="SimHei" w:hAnsi="SimHei" w:eastAsia="SimHei" w:cs="SimHei"/>
                <w:sz w:val="22"/>
                <w:szCs w:val="22"/>
                <w:spacing w:val="-89"/>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10</w:t>
            </w:r>
          </w:hyperlink>
        </w:p>
        <w:p>
          <w:pPr>
            <w:ind w:left="456"/>
            <w:spacing w:before="290" w:line="200" w:lineRule="auto"/>
            <w:tabs>
              <w:tab w:val="right" w:leader="dot" w:pos="9337"/>
            </w:tabs>
            <w:rPr>
              <w:rFonts w:ascii="Cambria" w:hAnsi="Cambria" w:eastAsia="Cambria" w:cs="Cambria"/>
              <w:sz w:val="22"/>
              <w:szCs w:val="22"/>
            </w:rPr>
          </w:pPr>
          <w:hyperlink w:history="true" w:anchor="bookmark38">
            <w:r>
              <w:rPr>
                <w:rFonts w:ascii="Times New Roman" w:hAnsi="Times New Roman" w:eastAsia="Times New Roman" w:cs="Times New Roman"/>
                <w:sz w:val="22"/>
                <w:szCs w:val="22"/>
                <w:spacing w:val="-6"/>
              </w:rPr>
              <w:t>10.1</w:t>
            </w:r>
            <w:r>
              <w:rPr>
                <w:rFonts w:ascii="Times New Roman" w:hAnsi="Times New Roman" w:eastAsia="Times New Roman" w:cs="Times New Roman"/>
                <w:sz w:val="22"/>
                <w:szCs w:val="22"/>
                <w:spacing w:val="13"/>
              </w:rPr>
              <w:t xml:space="preserve"> </w:t>
            </w:r>
            <w:r>
              <w:rPr>
                <w:rFonts w:ascii="SimHei" w:hAnsi="SimHei" w:eastAsia="SimHei" w:cs="SimHei"/>
                <w:sz w:val="22"/>
                <w:szCs w:val="22"/>
                <w:spacing w:val="-6"/>
              </w:rPr>
              <w:t>总则</w:t>
            </w:r>
            <w:r>
              <w:rPr>
                <w:rFonts w:ascii="SimHei" w:hAnsi="SimHei" w:eastAsia="SimHei" w:cs="SimHei"/>
                <w:sz w:val="22"/>
                <w:szCs w:val="22"/>
                <w:spacing w:val="-101"/>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10</w:t>
            </w:r>
          </w:hyperlink>
        </w:p>
        <w:p>
          <w:pPr>
            <w:ind w:left="456"/>
            <w:spacing w:before="290" w:line="200" w:lineRule="auto"/>
            <w:tabs>
              <w:tab w:val="right" w:leader="dot" w:pos="9337"/>
            </w:tabs>
            <w:rPr>
              <w:rFonts w:ascii="Cambria" w:hAnsi="Cambria" w:eastAsia="Cambria" w:cs="Cambria"/>
              <w:sz w:val="22"/>
              <w:szCs w:val="22"/>
            </w:rPr>
          </w:pPr>
          <w:hyperlink w:history="true" w:anchor="bookmark39">
            <w:r>
              <w:rPr>
                <w:rFonts w:ascii="Times New Roman" w:hAnsi="Times New Roman" w:eastAsia="Times New Roman" w:cs="Times New Roman"/>
                <w:sz w:val="22"/>
                <w:szCs w:val="22"/>
                <w:spacing w:val="-2"/>
              </w:rPr>
              <w:t>10.2 </w:t>
            </w:r>
            <w:r>
              <w:rPr>
                <w:rFonts w:ascii="SimHei" w:hAnsi="SimHei" w:eastAsia="SimHei" w:cs="SimHei"/>
                <w:sz w:val="22"/>
                <w:szCs w:val="22"/>
                <w:spacing w:val="-2"/>
              </w:rPr>
              <w:t>不符合和纠正措施</w:t>
            </w:r>
            <w:r>
              <w:rPr>
                <w:rFonts w:ascii="SimHei" w:hAnsi="SimHei" w:eastAsia="SimHei" w:cs="SimHei"/>
                <w:sz w:val="22"/>
                <w:szCs w:val="22"/>
                <w:spacing w:val="-96"/>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10</w:t>
            </w:r>
          </w:hyperlink>
        </w:p>
        <w:p>
          <w:pPr>
            <w:ind w:left="456"/>
            <w:spacing w:before="290" w:line="200" w:lineRule="auto"/>
            <w:tabs>
              <w:tab w:val="right" w:leader="dot" w:pos="9337"/>
            </w:tabs>
            <w:rPr>
              <w:rFonts w:ascii="Cambria" w:hAnsi="Cambria" w:eastAsia="Cambria" w:cs="Cambria"/>
              <w:sz w:val="22"/>
              <w:szCs w:val="22"/>
            </w:rPr>
          </w:pPr>
          <w:hyperlink w:history="true" w:anchor="bookmark40">
            <w:r>
              <w:rPr>
                <w:rFonts w:ascii="Times New Roman" w:hAnsi="Times New Roman" w:eastAsia="Times New Roman" w:cs="Times New Roman"/>
                <w:sz w:val="22"/>
                <w:szCs w:val="22"/>
                <w:spacing w:val="-3"/>
              </w:rPr>
              <w:t>10.3 </w:t>
            </w:r>
            <w:r>
              <w:rPr>
                <w:rFonts w:ascii="SimHei" w:hAnsi="SimHei" w:eastAsia="SimHei" w:cs="SimHei"/>
                <w:sz w:val="22"/>
                <w:szCs w:val="22"/>
                <w:spacing w:val="-3"/>
              </w:rPr>
              <w:t>持续改进</w:t>
            </w:r>
            <w:r>
              <w:rPr>
                <w:rFonts w:ascii="SimHei" w:hAnsi="SimHei" w:eastAsia="SimHei" w:cs="SimHei"/>
                <w:sz w:val="22"/>
                <w:szCs w:val="22"/>
                <w:spacing w:val="-82"/>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11</w:t>
            </w:r>
          </w:hyperlink>
        </w:p>
        <w:p>
          <w:pPr>
            <w:ind w:left="12"/>
            <w:spacing w:before="289" w:line="200" w:lineRule="auto"/>
            <w:tabs>
              <w:tab w:val="right" w:leader="dot" w:pos="9337"/>
            </w:tabs>
            <w:rPr>
              <w:rFonts w:ascii="Cambria" w:hAnsi="Cambria" w:eastAsia="Cambria" w:cs="Cambria"/>
              <w:sz w:val="22"/>
              <w:szCs w:val="22"/>
            </w:rPr>
          </w:pPr>
          <w:hyperlink w:history="true" w:anchor="bookmark41">
            <w:r>
              <w:rPr>
                <w:rFonts w:ascii="SimHei" w:hAnsi="SimHei" w:eastAsia="SimHei" w:cs="SimHei"/>
                <w:sz w:val="22"/>
                <w:szCs w:val="22"/>
                <w:spacing w:val="-3"/>
              </w:rPr>
              <w:t>附录</w:t>
            </w:r>
            <w:r>
              <w:rPr>
                <w:rFonts w:ascii="SimHei" w:hAnsi="SimHei" w:eastAsia="SimHei" w:cs="SimHei"/>
                <w:sz w:val="22"/>
                <w:szCs w:val="22"/>
                <w:spacing w:val="-39"/>
              </w:rPr>
              <w:t xml:space="preserve"> </w:t>
            </w:r>
            <w:r>
              <w:rPr>
                <w:rFonts w:ascii="Times New Roman" w:hAnsi="Times New Roman" w:eastAsia="Times New Roman" w:cs="Times New Roman"/>
                <w:sz w:val="22"/>
                <w:szCs w:val="22"/>
                <w:spacing w:val="-3"/>
              </w:rPr>
              <w:t>A </w:t>
            </w:r>
            <w:r>
              <w:rPr>
                <w:rFonts w:ascii="SimHei" w:hAnsi="SimHei" w:eastAsia="SimHei" w:cs="SimHei"/>
                <w:sz w:val="22"/>
                <w:szCs w:val="22"/>
                <w:spacing w:val="-3"/>
              </w:rPr>
              <w:t>（资料性）</w:t>
            </w:r>
            <w:r>
              <w:rPr>
                <w:rFonts w:ascii="SimHei" w:hAnsi="SimHei" w:eastAsia="SimHei" w:cs="SimHei"/>
                <w:sz w:val="22"/>
                <w:szCs w:val="22"/>
                <w:spacing w:val="-40"/>
              </w:rPr>
              <w:t xml:space="preserve"> </w:t>
            </w:r>
            <w:r>
              <w:rPr>
                <w:rFonts w:ascii="SimHei" w:hAnsi="SimHei" w:eastAsia="SimHei" w:cs="SimHei"/>
                <w:sz w:val="22"/>
                <w:szCs w:val="22"/>
                <w:spacing w:val="-3"/>
              </w:rPr>
              <w:t>追溯体系建设原则</w:t>
            </w:r>
            <w:r>
              <w:rPr>
                <w:rFonts w:ascii="SimHei" w:hAnsi="SimHei" w:eastAsia="SimHei" w:cs="SimHei"/>
                <w:sz w:val="22"/>
                <w:szCs w:val="22"/>
                <w:spacing w:val="-78"/>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12</w:t>
            </w:r>
          </w:hyperlink>
        </w:p>
        <w:p>
          <w:pPr>
            <w:ind w:left="12"/>
            <w:spacing w:before="290" w:line="200" w:lineRule="auto"/>
            <w:tabs>
              <w:tab w:val="right" w:leader="dot" w:pos="9337"/>
            </w:tabs>
            <w:rPr>
              <w:rFonts w:ascii="Cambria" w:hAnsi="Cambria" w:eastAsia="Cambria" w:cs="Cambria"/>
              <w:sz w:val="22"/>
              <w:szCs w:val="22"/>
            </w:rPr>
          </w:pPr>
          <w:hyperlink w:history="true" w:anchor="bookmark42">
            <w:r>
              <w:rPr>
                <w:rFonts w:ascii="SimHei" w:hAnsi="SimHei" w:eastAsia="SimHei" w:cs="SimHei"/>
                <w:sz w:val="22"/>
                <w:szCs w:val="22"/>
                <w:spacing w:val="-3"/>
              </w:rPr>
              <w:t>附录</w:t>
            </w:r>
            <w:r>
              <w:rPr>
                <w:rFonts w:ascii="SimHei" w:hAnsi="SimHei" w:eastAsia="SimHei" w:cs="SimHei"/>
                <w:sz w:val="22"/>
                <w:szCs w:val="22"/>
                <w:spacing w:val="-44"/>
              </w:rPr>
              <w:t xml:space="preserve"> </w:t>
            </w:r>
            <w:r>
              <w:rPr>
                <w:rFonts w:ascii="Times New Roman" w:hAnsi="Times New Roman" w:eastAsia="Times New Roman" w:cs="Times New Roman"/>
                <w:sz w:val="22"/>
                <w:szCs w:val="22"/>
                <w:spacing w:val="-3"/>
              </w:rPr>
              <w:t>B </w:t>
            </w:r>
            <w:r>
              <w:rPr>
                <w:rFonts w:ascii="SimHei" w:hAnsi="SimHei" w:eastAsia="SimHei" w:cs="SimHei"/>
                <w:sz w:val="22"/>
                <w:szCs w:val="22"/>
                <w:spacing w:val="-3"/>
              </w:rPr>
              <w:t>（资料性）</w:t>
            </w:r>
            <w:r>
              <w:rPr>
                <w:rFonts w:ascii="SimHei" w:hAnsi="SimHei" w:eastAsia="SimHei" w:cs="SimHei"/>
                <w:sz w:val="22"/>
                <w:szCs w:val="22"/>
                <w:spacing w:val="-40"/>
              </w:rPr>
              <w:t xml:space="preserve"> </w:t>
            </w:r>
            <w:r>
              <w:rPr>
                <w:rFonts w:ascii="SimHei" w:hAnsi="SimHei" w:eastAsia="SimHei" w:cs="SimHei"/>
                <w:sz w:val="22"/>
                <w:szCs w:val="22"/>
                <w:spacing w:val="-3"/>
              </w:rPr>
              <w:t>追溯信息内容</w:t>
            </w:r>
            <w:r>
              <w:rPr>
                <w:rFonts w:ascii="SimHei" w:hAnsi="SimHei" w:eastAsia="SimHei" w:cs="SimHei"/>
                <w:sz w:val="22"/>
                <w:szCs w:val="22"/>
                <w:spacing w:val="-83"/>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13</w:t>
            </w:r>
          </w:hyperlink>
        </w:p>
        <w:p>
          <w:pPr>
            <w:ind w:left="12"/>
            <w:spacing w:before="290" w:line="200" w:lineRule="auto"/>
            <w:tabs>
              <w:tab w:val="right" w:leader="dot" w:pos="9337"/>
            </w:tabs>
            <w:rPr>
              <w:rFonts w:ascii="Cambria" w:hAnsi="Cambria" w:eastAsia="Cambria" w:cs="Cambria"/>
              <w:sz w:val="22"/>
              <w:szCs w:val="22"/>
            </w:rPr>
          </w:pPr>
          <w:hyperlink w:history="true" w:anchor="bookmark43">
            <w:r>
              <w:rPr>
                <w:rFonts w:ascii="SimHei" w:hAnsi="SimHei" w:eastAsia="SimHei" w:cs="SimHei"/>
                <w:sz w:val="22"/>
                <w:szCs w:val="22"/>
                <w:spacing w:val="-2"/>
              </w:rPr>
              <w:t>附录</w:t>
            </w:r>
            <w:r>
              <w:rPr>
                <w:rFonts w:ascii="SimHei" w:hAnsi="SimHei" w:eastAsia="SimHei" w:cs="SimHei"/>
                <w:sz w:val="22"/>
                <w:szCs w:val="22"/>
                <w:spacing w:val="-47"/>
              </w:rPr>
              <w:t xml:space="preserve"> </w:t>
            </w:r>
            <w:r>
              <w:rPr>
                <w:rFonts w:ascii="Times New Roman" w:hAnsi="Times New Roman" w:eastAsia="Times New Roman" w:cs="Times New Roman"/>
                <w:sz w:val="22"/>
                <w:szCs w:val="22"/>
                <w:spacing w:val="-2"/>
              </w:rPr>
              <w:t>C </w:t>
            </w:r>
            <w:r>
              <w:rPr>
                <w:rFonts w:ascii="SimHei" w:hAnsi="SimHei" w:eastAsia="SimHei" w:cs="SimHei"/>
                <w:sz w:val="22"/>
                <w:szCs w:val="22"/>
                <w:spacing w:val="-2"/>
              </w:rPr>
              <w:t>（资料性）</w:t>
            </w:r>
            <w:r>
              <w:rPr>
                <w:rFonts w:ascii="SimHei" w:hAnsi="SimHei" w:eastAsia="SimHei" w:cs="SimHei"/>
                <w:sz w:val="22"/>
                <w:szCs w:val="22"/>
                <w:spacing w:val="-36"/>
              </w:rPr>
              <w:t xml:space="preserve"> </w:t>
            </w:r>
            <w:r>
              <w:rPr>
                <w:rFonts w:ascii="SimHei" w:hAnsi="SimHei" w:eastAsia="SimHei" w:cs="SimHei"/>
                <w:sz w:val="22"/>
                <w:szCs w:val="22"/>
                <w:spacing w:val="-2"/>
              </w:rPr>
              <w:t>可追溯管理体系成文信息清单参考</w:t>
            </w:r>
            <w:r>
              <w:rPr>
                <w:rFonts w:ascii="SimHei" w:hAnsi="SimHei" w:eastAsia="SimHei" w:cs="SimHei"/>
                <w:sz w:val="22"/>
                <w:szCs w:val="22"/>
                <w:spacing w:val="-100"/>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14</w:t>
            </w:r>
          </w:hyperlink>
        </w:p>
        <w:p>
          <w:pPr>
            <w:spacing w:before="290" w:line="234" w:lineRule="auto"/>
            <w:tabs>
              <w:tab w:val="right" w:leader="dot" w:pos="9337"/>
            </w:tabs>
            <w:rPr>
              <w:rFonts w:ascii="Cambria" w:hAnsi="Cambria" w:eastAsia="Cambria" w:cs="Cambria"/>
              <w:sz w:val="22"/>
              <w:szCs w:val="22"/>
            </w:rPr>
          </w:pPr>
          <w:hyperlink w:history="true" w:anchor="bookmark44">
            <w:r>
              <w:rPr>
                <w:rFonts w:ascii="SimHei" w:hAnsi="SimHei" w:eastAsia="SimHei" w:cs="SimHei"/>
                <w:sz w:val="22"/>
                <w:szCs w:val="22"/>
                <w:spacing w:val="-2"/>
              </w:rPr>
              <w:t>参考文献</w:t>
            </w:r>
            <w:r>
              <w:rPr>
                <w:rFonts w:ascii="SimHei" w:hAnsi="SimHei" w:eastAsia="SimHei" w:cs="SimHei"/>
                <w:sz w:val="22"/>
                <w:szCs w:val="22"/>
                <w:spacing w:val="-71"/>
              </w:rPr>
              <w:t xml:space="preserve"> </w:t>
            </w:r>
            <w:r>
              <w:rPr>
                <w:rFonts w:ascii="SimHei" w:hAnsi="SimHei" w:eastAsia="SimHei" w:cs="SimHei"/>
                <w:sz w:val="22"/>
                <w:szCs w:val="22"/>
              </w:rPr>
              <w:tab/>
            </w:r>
            <w:r>
              <w:rPr>
                <w:rFonts w:ascii="SimHei" w:hAnsi="SimHei" w:eastAsia="SimHei" w:cs="SimHei"/>
                <w:sz w:val="22"/>
                <w:szCs w:val="22"/>
                <w:spacing w:val="-62"/>
              </w:rPr>
              <w:t xml:space="preserve"> </w:t>
            </w:r>
            <w:r>
              <w:rPr>
                <w:rFonts w:ascii="Cambria" w:hAnsi="Cambria" w:eastAsia="Cambria" w:cs="Cambria"/>
                <w:sz w:val="22"/>
                <w:szCs w:val="22"/>
                <w:spacing w:val="-5"/>
              </w:rPr>
              <w:t>15</w:t>
            </w:r>
          </w:hyperlink>
        </w:p>
      </w:sdtContent>
    </w:sdt>
    <w:p>
      <w:pPr>
        <w:spacing w:line="234" w:lineRule="auto"/>
        <w:sectPr>
          <w:headerReference w:type="default" r:id="rId4"/>
          <w:footerReference w:type="default" r:id="rId5"/>
          <w:pgSz w:w="11907" w:h="16839"/>
          <w:pgMar w:top="1028" w:right="1133" w:bottom="880" w:left="1425" w:header="703" w:footer="678" w:gutter="0"/>
        </w:sectPr>
        <w:rPr>
          <w:rFonts w:ascii="Cambria" w:hAnsi="Cambria" w:eastAsia="Cambria" w:cs="Cambria"/>
          <w:sz w:val="22"/>
          <w:szCs w:val="22"/>
        </w:rPr>
      </w:pPr>
    </w:p>
    <w:p>
      <w:pPr>
        <w:ind w:left="3169"/>
        <w:spacing w:before="151" w:line="224" w:lineRule="auto"/>
        <w:rPr>
          <w:rFonts w:ascii="SimHei" w:hAnsi="SimHei" w:eastAsia="SimHei" w:cs="SimHei"/>
          <w:sz w:val="31"/>
          <w:szCs w:val="31"/>
        </w:rPr>
      </w:pPr>
      <w:bookmarkStart w:name="bookmark2" w:id="2"/>
      <w:bookmarkEnd w:id="2"/>
      <w:r>
        <w:rPr>
          <w:rFonts w:ascii="SimHei" w:hAnsi="SimHei" w:eastAsia="SimHei" w:cs="SimHei"/>
          <w:sz w:val="31"/>
          <w:szCs w:val="31"/>
          <w:spacing w:val="7"/>
        </w:rPr>
        <w:t>可追溯管理体系</w:t>
      </w:r>
      <w:r>
        <w:rPr>
          <w:rFonts w:ascii="SimHei" w:hAnsi="SimHei" w:eastAsia="SimHei" w:cs="SimHei"/>
          <w:sz w:val="31"/>
          <w:szCs w:val="31"/>
          <w:spacing w:val="7"/>
        </w:rPr>
        <w:t xml:space="preserve"> </w:t>
      </w:r>
      <w:r>
        <w:rPr>
          <w:rFonts w:ascii="SimHei" w:hAnsi="SimHei" w:eastAsia="SimHei" w:cs="SimHei"/>
          <w:sz w:val="31"/>
          <w:szCs w:val="31"/>
          <w:spacing w:val="7"/>
        </w:rPr>
        <w:t>要求</w:t>
      </w:r>
    </w:p>
    <w:p>
      <w:pPr>
        <w:pStyle w:val="BodyText"/>
        <w:spacing w:line="399" w:lineRule="auto"/>
        <w:rPr/>
      </w:pPr>
      <w:r/>
    </w:p>
    <w:p>
      <w:pPr>
        <w:ind w:left="20"/>
        <w:spacing w:before="68" w:line="235" w:lineRule="auto"/>
        <w:outlineLvl w:val="0"/>
        <w:rPr>
          <w:rFonts w:ascii="SimHei" w:hAnsi="SimHei" w:eastAsia="SimHei" w:cs="SimHei"/>
          <w:sz w:val="21"/>
          <w:szCs w:val="21"/>
        </w:rPr>
      </w:pPr>
      <w:bookmarkStart w:name="bookmark45" w:id="3"/>
      <w:bookmarkEnd w:id="3"/>
      <w:r>
        <w:rPr>
          <w:rFonts w:ascii="Times New Roman" w:hAnsi="Times New Roman" w:eastAsia="Times New Roman" w:cs="Times New Roman"/>
          <w:sz w:val="21"/>
          <w:szCs w:val="21"/>
          <w:spacing w:val="-10"/>
        </w:rPr>
        <w:t>1</w:t>
      </w:r>
      <w:r>
        <w:rPr>
          <w:rFonts w:ascii="Times New Roman" w:hAnsi="Times New Roman" w:eastAsia="Times New Roman" w:cs="Times New Roman"/>
          <w:sz w:val="21"/>
          <w:szCs w:val="21"/>
          <w:spacing w:val="12"/>
        </w:rPr>
        <w:t xml:space="preserve"> </w:t>
      </w:r>
      <w:r>
        <w:rPr>
          <w:rFonts w:ascii="SimHei" w:hAnsi="SimHei" w:eastAsia="SimHei" w:cs="SimHei"/>
          <w:sz w:val="21"/>
          <w:szCs w:val="21"/>
          <w:spacing w:val="-10"/>
        </w:rPr>
        <w:t>范围</w:t>
      </w:r>
    </w:p>
    <w:p>
      <w:pPr>
        <w:ind w:left="5" w:right="8" w:firstLine="419"/>
        <w:spacing w:before="202" w:line="360" w:lineRule="auto"/>
        <w:rPr>
          <w:rFonts w:ascii="SimSun" w:hAnsi="SimSun" w:eastAsia="SimSun" w:cs="SimSun"/>
          <w:sz w:val="21"/>
          <w:szCs w:val="21"/>
        </w:rPr>
      </w:pPr>
      <w:r>
        <w:rPr>
          <w:rFonts w:ascii="SimSun" w:hAnsi="SimSun" w:eastAsia="SimSun" w:cs="SimSun"/>
          <w:sz w:val="21"/>
          <w:szCs w:val="21"/>
          <w:spacing w:val="2"/>
        </w:rPr>
        <w:t>本文件规定了组织建立、实施、保持和持续改进可追溯管理体系的要求，包括组织环境、领导作</w:t>
      </w:r>
      <w:r>
        <w:rPr>
          <w:rFonts w:ascii="SimSun" w:hAnsi="SimSun" w:eastAsia="SimSun" w:cs="SimSun"/>
          <w:sz w:val="21"/>
          <w:szCs w:val="21"/>
          <w:spacing w:val="-1"/>
        </w:rPr>
        <w:t>用、策划、支持、运行、绩效评价和改进等内容。</w:t>
      </w:r>
    </w:p>
    <w:p>
      <w:pPr>
        <w:ind w:left="21" w:right="8" w:firstLine="403"/>
        <w:spacing w:before="1" w:line="358" w:lineRule="auto"/>
        <w:rPr>
          <w:rFonts w:ascii="SimSun" w:hAnsi="SimSun" w:eastAsia="SimSun" w:cs="SimSun"/>
          <w:sz w:val="21"/>
          <w:szCs w:val="21"/>
        </w:rPr>
      </w:pPr>
      <w:r>
        <w:rPr>
          <w:rFonts w:ascii="SimSun" w:hAnsi="SimSun" w:eastAsia="SimSun" w:cs="SimSun"/>
          <w:sz w:val="21"/>
          <w:szCs w:val="21"/>
          <w:spacing w:val="2"/>
        </w:rPr>
        <w:t>本文件适用于任何类型、不同规模和提供不同产品或服务的组织，不论其性质、规模以及所提供</w:t>
      </w:r>
      <w:r>
        <w:rPr>
          <w:rFonts w:ascii="SimSun" w:hAnsi="SimSun" w:eastAsia="SimSun" w:cs="SimSun"/>
          <w:sz w:val="21"/>
          <w:szCs w:val="21"/>
          <w:spacing w:val="-3"/>
        </w:rPr>
        <w:t>的产品和服务的种类。</w:t>
      </w:r>
    </w:p>
    <w:p>
      <w:pPr>
        <w:ind w:left="5" w:right="8" w:firstLine="419"/>
        <w:spacing w:before="2" w:line="358" w:lineRule="auto"/>
        <w:rPr>
          <w:rFonts w:ascii="SimSun" w:hAnsi="SimSun" w:eastAsia="SimSun" w:cs="SimSun"/>
          <w:sz w:val="21"/>
          <w:szCs w:val="21"/>
        </w:rPr>
      </w:pPr>
      <w:r>
        <w:rPr>
          <w:rFonts w:ascii="SimSun" w:hAnsi="SimSun" w:eastAsia="SimSun" w:cs="SimSun"/>
          <w:sz w:val="21"/>
          <w:szCs w:val="21"/>
          <w:spacing w:val="2"/>
        </w:rPr>
        <w:t>本文件可用于组织建立和实施可追溯管理体系，也可用于组织自我评价、第三方认证机构对组织</w:t>
      </w:r>
      <w:r>
        <w:rPr>
          <w:rFonts w:ascii="SimSun" w:hAnsi="SimSun" w:eastAsia="SimSun" w:cs="SimSun"/>
          <w:sz w:val="21"/>
          <w:szCs w:val="21"/>
          <w:spacing w:val="-1"/>
        </w:rPr>
        <w:t>可追溯管理体系进行认证或评价，以及相关方对组织可追溯管理能力进行评估。</w:t>
      </w:r>
    </w:p>
    <w:p>
      <w:pPr>
        <w:ind w:left="21" w:right="8" w:firstLine="403"/>
        <w:spacing w:before="2" w:line="358" w:lineRule="auto"/>
        <w:rPr>
          <w:rFonts w:ascii="SimSun" w:hAnsi="SimSun" w:eastAsia="SimSun" w:cs="SimSun"/>
          <w:sz w:val="21"/>
          <w:szCs w:val="21"/>
        </w:rPr>
      </w:pPr>
      <w:r>
        <w:rPr>
          <w:rFonts w:ascii="SimSun" w:hAnsi="SimSun" w:eastAsia="SimSun" w:cs="SimSun"/>
          <w:sz w:val="21"/>
          <w:szCs w:val="21"/>
          <w:spacing w:val="2"/>
        </w:rPr>
        <w:t>本文件适用于食用农产品、食品、药品、农业生产资料、特种设备、危险品、稀土产品等重要产</w:t>
      </w:r>
      <w:r>
        <w:rPr>
          <w:rFonts w:ascii="SimSun" w:hAnsi="SimSun" w:eastAsia="SimSun" w:cs="SimSun"/>
          <w:sz w:val="21"/>
          <w:szCs w:val="21"/>
          <w:spacing w:val="-3"/>
        </w:rPr>
        <w:t>品，以及其他需要实施追溯的产品。</w:t>
      </w:r>
    </w:p>
    <w:p>
      <w:pPr>
        <w:ind w:left="4"/>
        <w:spacing w:before="1" w:line="232" w:lineRule="auto"/>
        <w:rPr>
          <w:rFonts w:ascii="SimSun" w:hAnsi="SimSun" w:eastAsia="SimSun" w:cs="SimSun"/>
          <w:sz w:val="18"/>
          <w:szCs w:val="18"/>
        </w:rPr>
      </w:pPr>
      <w:r>
        <w:rPr>
          <w:rFonts w:ascii="SimHei" w:hAnsi="SimHei" w:eastAsia="SimHei" w:cs="SimHei"/>
          <w:sz w:val="18"/>
          <w:szCs w:val="18"/>
          <w:spacing w:val="-1"/>
        </w:rPr>
        <w:t>注：</w:t>
      </w:r>
      <w:r>
        <w:rPr>
          <w:rFonts w:ascii="SimSun" w:hAnsi="SimSun" w:eastAsia="SimSun" w:cs="SimSun"/>
          <w:sz w:val="18"/>
          <w:szCs w:val="18"/>
          <w:spacing w:val="-1"/>
        </w:rPr>
        <w:t>本文件所描述的追溯要求可作为组织质量管理体系（见</w:t>
      </w:r>
      <w:r>
        <w:rPr>
          <w:rFonts w:ascii="SimSun" w:hAnsi="SimSun" w:eastAsia="SimSun" w:cs="SimSun"/>
          <w:sz w:val="18"/>
          <w:szCs w:val="18"/>
          <w:spacing w:val="-37"/>
        </w:rPr>
        <w:t xml:space="preserve"> </w:t>
      </w:r>
      <w:r>
        <w:rPr>
          <w:rFonts w:ascii="Times New Roman" w:hAnsi="Times New Roman" w:eastAsia="Times New Roman" w:cs="Times New Roman"/>
          <w:sz w:val="18"/>
          <w:szCs w:val="18"/>
          <w:spacing w:val="-1"/>
        </w:rPr>
        <w:t>GB/T</w:t>
      </w:r>
      <w:r>
        <w:rPr>
          <w:rFonts w:ascii="Times New Roman" w:hAnsi="Times New Roman" w:eastAsia="Times New Roman" w:cs="Times New Roman"/>
          <w:sz w:val="18"/>
          <w:szCs w:val="18"/>
          <w:spacing w:val="22"/>
        </w:rPr>
        <w:t xml:space="preserve"> </w:t>
      </w:r>
      <w:r>
        <w:rPr>
          <w:rFonts w:ascii="Times New Roman" w:hAnsi="Times New Roman" w:eastAsia="Times New Roman" w:cs="Times New Roman"/>
          <w:sz w:val="18"/>
          <w:szCs w:val="18"/>
          <w:spacing w:val="-1"/>
        </w:rPr>
        <w:t>19001</w:t>
      </w:r>
      <w:r>
        <w:rPr>
          <w:rFonts w:ascii="SimSun" w:hAnsi="SimSun" w:eastAsia="SimSun" w:cs="SimSun"/>
          <w:sz w:val="18"/>
          <w:szCs w:val="18"/>
          <w:spacing w:val="-1"/>
        </w:rPr>
        <w:t>）</w:t>
      </w:r>
      <w:r>
        <w:rPr>
          <w:rFonts w:ascii="SimSun" w:hAnsi="SimSun" w:eastAsia="SimSun" w:cs="SimSun"/>
          <w:sz w:val="18"/>
          <w:szCs w:val="18"/>
          <w:spacing w:val="-2"/>
        </w:rPr>
        <w:t>的过程之一，也可单独使用。</w:t>
      </w:r>
    </w:p>
    <w:p>
      <w:pPr>
        <w:pStyle w:val="BodyText"/>
        <w:spacing w:line="269" w:lineRule="auto"/>
        <w:rPr/>
      </w:pPr>
      <w:r/>
    </w:p>
    <w:p>
      <w:pPr>
        <w:spacing w:before="68" w:line="234" w:lineRule="auto"/>
        <w:outlineLvl w:val="0"/>
        <w:rPr>
          <w:rFonts w:ascii="SimHei" w:hAnsi="SimHei" w:eastAsia="SimHei" w:cs="SimHei"/>
          <w:sz w:val="21"/>
          <w:szCs w:val="21"/>
        </w:rPr>
      </w:pPr>
      <w:bookmarkStart w:name="bookmark3" w:id="4"/>
      <w:bookmarkEnd w:id="4"/>
      <w:r>
        <w:rPr>
          <w:rFonts w:ascii="Times New Roman" w:hAnsi="Times New Roman" w:eastAsia="Times New Roman" w:cs="Times New Roman"/>
          <w:sz w:val="21"/>
          <w:szCs w:val="21"/>
          <w:spacing w:val="-1"/>
        </w:rPr>
        <w:t>2 </w:t>
      </w:r>
      <w:r>
        <w:rPr>
          <w:rFonts w:ascii="SimHei" w:hAnsi="SimHei" w:eastAsia="SimHei" w:cs="SimHei"/>
          <w:sz w:val="21"/>
          <w:szCs w:val="21"/>
          <w:spacing w:val="-1"/>
        </w:rPr>
        <w:t>规范性引用文件</w:t>
      </w:r>
    </w:p>
    <w:p>
      <w:pPr>
        <w:ind w:left="2" w:right="3" w:firstLine="427"/>
        <w:spacing w:before="208" w:line="360" w:lineRule="auto"/>
        <w:jc w:val="both"/>
        <w:rPr>
          <w:rFonts w:ascii="SimSun" w:hAnsi="SimSun" w:eastAsia="SimSun" w:cs="SimSun"/>
          <w:sz w:val="21"/>
          <w:szCs w:val="21"/>
        </w:rPr>
      </w:pPr>
      <w:r>
        <w:rPr>
          <w:rFonts w:ascii="SimSun" w:hAnsi="SimSun" w:eastAsia="SimSun" w:cs="SimSun"/>
          <w:sz w:val="21"/>
          <w:szCs w:val="21"/>
          <w:spacing w:val="2"/>
        </w:rPr>
        <w:t>下列文件中的内容通过文中的规范性引用而构成本文件必不可少的条款。其中，注日期的引用文</w:t>
      </w:r>
      <w:r>
        <w:rPr>
          <w:rFonts w:ascii="SimSun" w:hAnsi="SimSun" w:eastAsia="SimSun" w:cs="SimSun"/>
          <w:sz w:val="21"/>
          <w:szCs w:val="21"/>
          <w:spacing w:val="2"/>
        </w:rPr>
        <w:t>件，仅该日期对应的版本适用于本文件；不注日期的引用文件，其最新版本（包括所有的修改单）适</w:t>
      </w:r>
      <w:r>
        <w:rPr>
          <w:rFonts w:ascii="SimSun" w:hAnsi="SimSun" w:eastAsia="SimSun" w:cs="SimSun"/>
          <w:sz w:val="21"/>
          <w:szCs w:val="21"/>
          <w:spacing w:val="-1"/>
        </w:rPr>
        <w:t>用于本文件。</w:t>
      </w:r>
    </w:p>
    <w:p>
      <w:pPr>
        <w:ind w:left="2"/>
        <w:spacing w:line="234" w:lineRule="auto"/>
        <w:rPr>
          <w:rFonts w:ascii="SimSun" w:hAnsi="SimSun" w:eastAsia="SimSun" w:cs="SimSun"/>
          <w:sz w:val="21"/>
          <w:szCs w:val="21"/>
        </w:rPr>
      </w:pPr>
      <w:r>
        <w:rPr>
          <w:rFonts w:ascii="Times New Roman" w:hAnsi="Times New Roman" w:eastAsia="Times New Roman" w:cs="Times New Roman"/>
          <w:sz w:val="21"/>
          <w:szCs w:val="21"/>
          <w:spacing w:val="-1"/>
        </w:rPr>
        <w:t>GB/T</w:t>
      </w:r>
      <w:r>
        <w:rPr>
          <w:rFonts w:ascii="Times New Roman" w:hAnsi="Times New Roman" w:eastAsia="Times New Roman" w:cs="Times New Roman"/>
          <w:sz w:val="21"/>
          <w:szCs w:val="21"/>
          <w:spacing w:val="25"/>
          <w:w w:val="101"/>
        </w:rPr>
        <w:t xml:space="preserve"> </w:t>
      </w:r>
      <w:r>
        <w:rPr>
          <w:rFonts w:ascii="Times New Roman" w:hAnsi="Times New Roman" w:eastAsia="Times New Roman" w:cs="Times New Roman"/>
          <w:sz w:val="21"/>
          <w:szCs w:val="21"/>
          <w:spacing w:val="-1"/>
        </w:rPr>
        <w:t>19000—2016 </w:t>
      </w:r>
      <w:r>
        <w:rPr>
          <w:rFonts w:ascii="SimSun" w:hAnsi="SimSun" w:eastAsia="SimSun" w:cs="SimSun"/>
          <w:sz w:val="21"/>
          <w:szCs w:val="21"/>
          <w:spacing w:val="-1"/>
        </w:rPr>
        <w:t>质量管理体系</w:t>
      </w:r>
      <w:r>
        <w:rPr>
          <w:rFonts w:ascii="SimSun" w:hAnsi="SimSun" w:eastAsia="SimSun" w:cs="SimSun"/>
          <w:sz w:val="21"/>
          <w:szCs w:val="21"/>
          <w:spacing w:val="-46"/>
        </w:rPr>
        <w:t xml:space="preserve"> </w:t>
      </w:r>
      <w:r>
        <w:rPr>
          <w:rFonts w:ascii="SimSun" w:hAnsi="SimSun" w:eastAsia="SimSun" w:cs="SimSun"/>
          <w:sz w:val="21"/>
          <w:szCs w:val="21"/>
          <w:spacing w:val="-1"/>
        </w:rPr>
        <w:t>基础和术语（</w:t>
      </w:r>
      <w:r>
        <w:rPr>
          <w:rFonts w:ascii="Times New Roman" w:hAnsi="Times New Roman" w:eastAsia="Times New Roman" w:cs="Times New Roman"/>
          <w:sz w:val="21"/>
          <w:szCs w:val="21"/>
          <w:spacing w:val="-1"/>
        </w:rPr>
        <w:t>IS</w:t>
      </w:r>
      <w:r>
        <w:rPr>
          <w:rFonts w:ascii="Times New Roman" w:hAnsi="Times New Roman" w:eastAsia="Times New Roman" w:cs="Times New Roman"/>
          <w:sz w:val="21"/>
          <w:szCs w:val="21"/>
          <w:spacing w:val="-2"/>
        </w:rPr>
        <w:t>O 9000:2015</w:t>
      </w:r>
      <w:r>
        <w:rPr>
          <w:rFonts w:ascii="Times New Roman" w:hAnsi="Times New Roman" w:eastAsia="Times New Roman" w:cs="Times New Roman"/>
          <w:sz w:val="21"/>
          <w:szCs w:val="21"/>
          <w:spacing w:val="-29"/>
        </w:rPr>
        <w:t xml:space="preserve"> </w:t>
      </w:r>
      <w:r>
        <w:rPr>
          <w:rFonts w:ascii="SimSun" w:hAnsi="SimSun" w:eastAsia="SimSun" w:cs="SimSun"/>
          <w:sz w:val="21"/>
          <w:szCs w:val="21"/>
          <w:spacing w:val="-2"/>
        </w:rPr>
        <w:t>，</w:t>
      </w:r>
      <w:r>
        <w:rPr>
          <w:rFonts w:ascii="Times New Roman" w:hAnsi="Times New Roman" w:eastAsia="Times New Roman" w:cs="Times New Roman"/>
          <w:sz w:val="21"/>
          <w:szCs w:val="21"/>
          <w:spacing w:val="-2"/>
        </w:rPr>
        <w:t>IDT</w:t>
      </w:r>
      <w:r>
        <w:rPr>
          <w:rFonts w:ascii="SimSun" w:hAnsi="SimSun" w:eastAsia="SimSun" w:cs="SimSun"/>
          <w:sz w:val="21"/>
          <w:szCs w:val="21"/>
          <w:spacing w:val="-2"/>
        </w:rPr>
        <w:t>）</w:t>
      </w:r>
    </w:p>
    <w:p>
      <w:pPr>
        <w:pStyle w:val="BodyText"/>
        <w:spacing w:line="271" w:lineRule="auto"/>
        <w:rPr/>
      </w:pPr>
      <w:r/>
    </w:p>
    <w:p>
      <w:pPr>
        <w:ind w:left="2"/>
        <w:spacing w:before="69" w:line="234" w:lineRule="auto"/>
        <w:rPr>
          <w:rFonts w:ascii="SimSun" w:hAnsi="SimSun" w:eastAsia="SimSun" w:cs="SimSun"/>
          <w:sz w:val="21"/>
          <w:szCs w:val="21"/>
        </w:rPr>
      </w:pPr>
      <w:r>
        <w:rPr>
          <w:rFonts w:ascii="Times New Roman" w:hAnsi="Times New Roman" w:eastAsia="Times New Roman" w:cs="Times New Roman"/>
          <w:sz w:val="21"/>
          <w:szCs w:val="21"/>
          <w:spacing w:val="-1"/>
        </w:rPr>
        <w:t>GB/T 38155—2019 </w:t>
      </w:r>
      <w:r>
        <w:rPr>
          <w:rFonts w:ascii="SimSun" w:hAnsi="SimSun" w:eastAsia="SimSun" w:cs="SimSun"/>
          <w:sz w:val="21"/>
          <w:szCs w:val="21"/>
          <w:spacing w:val="-1"/>
        </w:rPr>
        <w:t>重要产品追溯</w:t>
      </w:r>
      <w:r>
        <w:rPr>
          <w:rFonts w:ascii="SimSun" w:hAnsi="SimSun" w:eastAsia="SimSun" w:cs="SimSun"/>
          <w:sz w:val="21"/>
          <w:szCs w:val="21"/>
          <w:spacing w:val="-32"/>
        </w:rPr>
        <w:t xml:space="preserve"> </w:t>
      </w:r>
      <w:r>
        <w:rPr>
          <w:rFonts w:ascii="SimSun" w:hAnsi="SimSun" w:eastAsia="SimSun" w:cs="SimSun"/>
          <w:sz w:val="21"/>
          <w:szCs w:val="21"/>
          <w:spacing w:val="-1"/>
        </w:rPr>
        <w:t>追溯术语</w:t>
      </w:r>
    </w:p>
    <w:p>
      <w:pPr>
        <w:pStyle w:val="BodyText"/>
        <w:spacing w:line="273" w:lineRule="auto"/>
        <w:rPr/>
      </w:pPr>
      <w:r/>
    </w:p>
    <w:p>
      <w:pPr>
        <w:ind w:left="2"/>
        <w:spacing w:before="68" w:line="234" w:lineRule="auto"/>
        <w:rPr>
          <w:rFonts w:ascii="SimSun" w:hAnsi="SimSun" w:eastAsia="SimSun" w:cs="SimSun"/>
          <w:sz w:val="21"/>
          <w:szCs w:val="21"/>
        </w:rPr>
      </w:pPr>
      <w:r>
        <w:rPr>
          <w:rFonts w:ascii="Times New Roman" w:hAnsi="Times New Roman" w:eastAsia="Times New Roman" w:cs="Times New Roman"/>
          <w:sz w:val="21"/>
          <w:szCs w:val="21"/>
          <w:spacing w:val="-1"/>
        </w:rPr>
        <w:t>GB/T 38159—2019 </w:t>
      </w:r>
      <w:r>
        <w:rPr>
          <w:rFonts w:ascii="SimSun" w:hAnsi="SimSun" w:eastAsia="SimSun" w:cs="SimSun"/>
          <w:sz w:val="21"/>
          <w:szCs w:val="21"/>
          <w:spacing w:val="-1"/>
        </w:rPr>
        <w:t>重要产品追溯</w:t>
      </w:r>
      <w:r>
        <w:rPr>
          <w:rFonts w:ascii="SimSun" w:hAnsi="SimSun" w:eastAsia="SimSun" w:cs="SimSun"/>
          <w:sz w:val="21"/>
          <w:szCs w:val="21"/>
          <w:spacing w:val="-27"/>
        </w:rPr>
        <w:t xml:space="preserve"> </w:t>
      </w:r>
      <w:r>
        <w:rPr>
          <w:rFonts w:ascii="SimSun" w:hAnsi="SimSun" w:eastAsia="SimSun" w:cs="SimSun"/>
          <w:sz w:val="21"/>
          <w:szCs w:val="21"/>
          <w:spacing w:val="-1"/>
        </w:rPr>
        <w:t>追溯体系通用要求</w:t>
      </w:r>
    </w:p>
    <w:p>
      <w:pPr>
        <w:pStyle w:val="BodyText"/>
        <w:spacing w:line="330" w:lineRule="auto"/>
        <w:rPr/>
      </w:pPr>
      <w:r/>
    </w:p>
    <w:p>
      <w:pPr>
        <w:ind w:left="4"/>
        <w:spacing w:before="69" w:line="234" w:lineRule="auto"/>
        <w:outlineLvl w:val="0"/>
        <w:rPr>
          <w:rFonts w:ascii="SimHei" w:hAnsi="SimHei" w:eastAsia="SimHei" w:cs="SimHei"/>
          <w:sz w:val="21"/>
          <w:szCs w:val="21"/>
        </w:rPr>
      </w:pPr>
      <w:bookmarkStart w:name="bookmark4" w:id="5"/>
      <w:bookmarkEnd w:id="5"/>
      <w:r>
        <w:rPr>
          <w:rFonts w:ascii="Times New Roman" w:hAnsi="Times New Roman" w:eastAsia="Times New Roman" w:cs="Times New Roman"/>
          <w:sz w:val="21"/>
          <w:szCs w:val="21"/>
          <w:spacing w:val="-1"/>
        </w:rPr>
        <w:t>3 </w:t>
      </w:r>
      <w:r>
        <w:rPr>
          <w:rFonts w:ascii="SimHei" w:hAnsi="SimHei" w:eastAsia="SimHei" w:cs="SimHei"/>
          <w:sz w:val="21"/>
          <w:szCs w:val="21"/>
          <w:spacing w:val="-1"/>
        </w:rPr>
        <w:t>术语和定义</w:t>
      </w:r>
    </w:p>
    <w:p>
      <w:pPr>
        <w:ind w:left="422"/>
        <w:spacing w:before="206" w:line="234" w:lineRule="auto"/>
        <w:rPr>
          <w:rFonts w:ascii="SimSun" w:hAnsi="SimSun" w:eastAsia="SimSun" w:cs="SimSun"/>
          <w:sz w:val="21"/>
          <w:szCs w:val="21"/>
        </w:rPr>
      </w:pPr>
      <w:r>
        <w:rPr>
          <w:rFonts w:ascii="Times New Roman" w:hAnsi="Times New Roman" w:eastAsia="Times New Roman" w:cs="Times New Roman"/>
          <w:sz w:val="21"/>
          <w:szCs w:val="21"/>
          <w:spacing w:val="-1"/>
        </w:rPr>
        <w:t>GB/T</w:t>
      </w:r>
      <w:r>
        <w:rPr>
          <w:rFonts w:ascii="Times New Roman" w:hAnsi="Times New Roman" w:eastAsia="Times New Roman" w:cs="Times New Roman"/>
          <w:sz w:val="21"/>
          <w:szCs w:val="21"/>
          <w:spacing w:val="25"/>
          <w:w w:val="101"/>
        </w:rPr>
        <w:t xml:space="preserve"> </w:t>
      </w:r>
      <w:r>
        <w:rPr>
          <w:rFonts w:ascii="Times New Roman" w:hAnsi="Times New Roman" w:eastAsia="Times New Roman" w:cs="Times New Roman"/>
          <w:sz w:val="21"/>
          <w:szCs w:val="21"/>
          <w:spacing w:val="-1"/>
        </w:rPr>
        <w:t>19000—2016 </w:t>
      </w:r>
      <w:r>
        <w:rPr>
          <w:rFonts w:ascii="SimSun" w:hAnsi="SimSun" w:eastAsia="SimSun" w:cs="SimSun"/>
          <w:sz w:val="21"/>
          <w:szCs w:val="21"/>
          <w:spacing w:val="-1"/>
        </w:rPr>
        <w:t>和</w:t>
      </w:r>
      <w:r>
        <w:rPr>
          <w:rFonts w:ascii="SimSun" w:hAnsi="SimSun" w:eastAsia="SimSun" w:cs="SimSun"/>
          <w:sz w:val="21"/>
          <w:szCs w:val="21"/>
          <w:spacing w:val="-45"/>
        </w:rPr>
        <w:t xml:space="preserve"> </w:t>
      </w:r>
      <w:r>
        <w:rPr>
          <w:rFonts w:ascii="Times New Roman" w:hAnsi="Times New Roman" w:eastAsia="Times New Roman" w:cs="Times New Roman"/>
          <w:sz w:val="21"/>
          <w:szCs w:val="21"/>
          <w:spacing w:val="-1"/>
        </w:rPr>
        <w:t>GB/T 381</w:t>
      </w:r>
      <w:r>
        <w:rPr>
          <w:rFonts w:ascii="Times New Roman" w:hAnsi="Times New Roman" w:eastAsia="Times New Roman" w:cs="Times New Roman"/>
          <w:sz w:val="21"/>
          <w:szCs w:val="21"/>
          <w:spacing w:val="-2"/>
        </w:rPr>
        <w:t>55—2019 </w:t>
      </w:r>
      <w:r>
        <w:rPr>
          <w:rFonts w:ascii="SimSun" w:hAnsi="SimSun" w:eastAsia="SimSun" w:cs="SimSun"/>
          <w:sz w:val="21"/>
          <w:szCs w:val="21"/>
          <w:spacing w:val="-2"/>
        </w:rPr>
        <w:t>界定的以及下列术语和定义适用于本文件。</w:t>
      </w:r>
    </w:p>
    <w:p>
      <w:pPr>
        <w:ind w:left="4"/>
        <w:spacing w:before="283"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3.1</w:t>
      </w:r>
    </w:p>
    <w:p>
      <w:pPr>
        <w:pStyle w:val="BodyText"/>
        <w:rPr/>
      </w:pPr>
      <w:r/>
    </w:p>
    <w:p>
      <w:pPr>
        <w:ind w:left="427"/>
        <w:spacing w:before="68" w:line="213" w:lineRule="auto"/>
        <w:rPr>
          <w:rFonts w:ascii="Times New Roman" w:hAnsi="Times New Roman" w:eastAsia="Times New Roman" w:cs="Times New Roman"/>
          <w:sz w:val="21"/>
          <w:szCs w:val="21"/>
        </w:rPr>
      </w:pPr>
      <w:r>
        <w:rPr>
          <w:rFonts w:ascii="SimHei" w:hAnsi="SimHei" w:eastAsia="SimHei" w:cs="SimHei"/>
          <w:sz w:val="21"/>
          <w:szCs w:val="21"/>
          <w:spacing w:val="-1"/>
        </w:rPr>
        <w:t>可追溯性</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traceability</w:t>
      </w:r>
    </w:p>
    <w:p>
      <w:pPr>
        <w:pStyle w:val="BodyText"/>
        <w:spacing w:line="296" w:lineRule="auto"/>
        <w:rPr/>
      </w:pPr>
      <w:r/>
    </w:p>
    <w:p>
      <w:pPr>
        <w:ind w:left="423"/>
        <w:spacing w:before="69" w:line="221" w:lineRule="auto"/>
        <w:rPr>
          <w:rFonts w:ascii="SimSun" w:hAnsi="SimSun" w:eastAsia="SimSun" w:cs="SimSun"/>
          <w:sz w:val="21"/>
          <w:szCs w:val="21"/>
        </w:rPr>
      </w:pPr>
      <w:r>
        <w:rPr>
          <w:rFonts w:ascii="SimSun" w:hAnsi="SimSun" w:eastAsia="SimSun" w:cs="SimSun"/>
          <w:sz w:val="21"/>
          <w:szCs w:val="21"/>
          <w:spacing w:val="-1"/>
        </w:rPr>
        <w:t>追溯客体的历史、应用情况或所处位置的能力。</w:t>
      </w:r>
    </w:p>
    <w:p>
      <w:pPr>
        <w:pStyle w:val="BodyText"/>
        <w:spacing w:line="289" w:lineRule="auto"/>
        <w:rPr/>
      </w:pPr>
      <w:r/>
    </w:p>
    <w:p>
      <w:pPr>
        <w:ind w:left="425" w:right="80" w:hanging="2"/>
        <w:spacing w:before="68" w:line="303" w:lineRule="auto"/>
        <w:rPr>
          <w:rFonts w:ascii="SimSun" w:hAnsi="SimSun" w:eastAsia="SimSun" w:cs="SimSun"/>
          <w:sz w:val="21"/>
          <w:szCs w:val="21"/>
        </w:rPr>
      </w:pPr>
      <w:r>
        <w:rPr>
          <w:rFonts w:ascii="SimSun" w:hAnsi="SimSun" w:eastAsia="SimSun" w:cs="SimSun"/>
          <w:sz w:val="21"/>
          <w:szCs w:val="21"/>
        </w:rPr>
        <w:t>注：当考虑产品或服务时，可追溯性可涉及：</w:t>
      </w:r>
      <w:r>
        <w:rPr>
          <w:rFonts w:ascii="Times New Roman" w:hAnsi="Times New Roman" w:eastAsia="Times New Roman" w:cs="Times New Roman"/>
          <w:sz w:val="21"/>
          <w:szCs w:val="21"/>
        </w:rPr>
        <w:t>a) </w:t>
      </w:r>
      <w:r>
        <w:rPr>
          <w:rFonts w:ascii="SimSun" w:hAnsi="SimSun" w:eastAsia="SimSun" w:cs="SimSun"/>
          <w:sz w:val="21"/>
          <w:szCs w:val="21"/>
        </w:rPr>
        <w:t>原材料和零部件的来源；</w:t>
      </w:r>
      <w:r>
        <w:rPr>
          <w:rFonts w:ascii="Times New Roman" w:hAnsi="Times New Roman" w:eastAsia="Times New Roman" w:cs="Times New Roman"/>
          <w:sz w:val="21"/>
          <w:szCs w:val="21"/>
        </w:rPr>
        <w:t>b) </w:t>
      </w:r>
      <w:r>
        <w:rPr>
          <w:rFonts w:ascii="SimSun" w:hAnsi="SimSun" w:eastAsia="SimSun" w:cs="SimSun"/>
          <w:sz w:val="21"/>
          <w:szCs w:val="21"/>
        </w:rPr>
        <w:t>加工的历史；</w:t>
      </w:r>
      <w:r>
        <w:rPr>
          <w:rFonts w:ascii="Times New Roman" w:hAnsi="Times New Roman" w:eastAsia="Times New Roman" w:cs="Times New Roman"/>
          <w:sz w:val="21"/>
          <w:szCs w:val="21"/>
        </w:rPr>
        <w:t>c)</w:t>
      </w:r>
      <w:r>
        <w:rPr>
          <w:rFonts w:ascii="Times New Roman" w:hAnsi="Times New Roman" w:eastAsia="Times New Roman" w:cs="Times New Roman"/>
          <w:sz w:val="21"/>
          <w:szCs w:val="21"/>
          <w:spacing w:val="-1"/>
        </w:rPr>
        <w:t xml:space="preserve"> </w:t>
      </w:r>
      <w:r>
        <w:rPr>
          <w:rFonts w:ascii="SimSun" w:hAnsi="SimSun" w:eastAsia="SimSun" w:cs="SimSun"/>
          <w:sz w:val="21"/>
          <w:szCs w:val="21"/>
          <w:spacing w:val="-1"/>
        </w:rPr>
        <w:t>产品</w:t>
      </w:r>
      <w:r>
        <w:rPr>
          <w:rFonts w:ascii="SimSun" w:hAnsi="SimSun" w:eastAsia="SimSun" w:cs="SimSun"/>
          <w:sz w:val="21"/>
          <w:szCs w:val="21"/>
          <w:spacing w:val="-1"/>
        </w:rPr>
        <w:t>或服务交付后的分布和所处位置。</w:t>
      </w:r>
    </w:p>
    <w:p>
      <w:pPr>
        <w:ind w:left="4"/>
        <w:spacing w:before="23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3.2</w:t>
      </w:r>
    </w:p>
    <w:p>
      <w:pPr>
        <w:ind w:left="422"/>
        <w:spacing w:before="309" w:line="213" w:lineRule="auto"/>
        <w:rPr>
          <w:rFonts w:ascii="Times New Roman" w:hAnsi="Times New Roman" w:eastAsia="Times New Roman" w:cs="Times New Roman"/>
          <w:sz w:val="21"/>
          <w:szCs w:val="21"/>
        </w:rPr>
      </w:pPr>
      <w:r>
        <w:rPr>
          <w:rFonts w:ascii="SimHei" w:hAnsi="SimHei" w:eastAsia="SimHei" w:cs="SimHei"/>
          <w:sz w:val="21"/>
          <w:szCs w:val="21"/>
          <w:spacing w:val="-1"/>
        </w:rPr>
        <w:t>追溯</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traceability</w:t>
      </w:r>
    </w:p>
    <w:p>
      <w:pPr>
        <w:pStyle w:val="BodyText"/>
        <w:spacing w:line="296" w:lineRule="auto"/>
        <w:rPr/>
      </w:pPr>
      <w:r/>
    </w:p>
    <w:p>
      <w:pPr>
        <w:ind w:left="423"/>
        <w:spacing w:before="69" w:line="221" w:lineRule="auto"/>
        <w:rPr>
          <w:rFonts w:ascii="SimSun" w:hAnsi="SimSun" w:eastAsia="SimSun" w:cs="SimSun"/>
          <w:sz w:val="21"/>
          <w:szCs w:val="21"/>
        </w:rPr>
      </w:pPr>
      <w:r>
        <w:rPr>
          <w:rFonts w:ascii="SimSun" w:hAnsi="SimSun" w:eastAsia="SimSun" w:cs="SimSun"/>
          <w:sz w:val="21"/>
          <w:szCs w:val="21"/>
        </w:rPr>
        <w:t>通过记录和标识，追踪和溯源客体的历史、应用情况或所处位置的</w:t>
      </w:r>
      <w:r>
        <w:rPr>
          <w:rFonts w:ascii="SimSun" w:hAnsi="SimSun" w:eastAsia="SimSun" w:cs="SimSun"/>
          <w:sz w:val="21"/>
          <w:szCs w:val="21"/>
          <w:spacing w:val="-1"/>
        </w:rPr>
        <w:t>活动。</w:t>
      </w:r>
    </w:p>
    <w:p>
      <w:pPr>
        <w:pStyle w:val="BodyText"/>
        <w:spacing w:line="285" w:lineRule="auto"/>
        <w:rPr/>
      </w:pPr>
      <w:r/>
    </w:p>
    <w:p>
      <w:pPr>
        <w:ind w:left="423"/>
        <w:spacing w:before="69" w:line="221" w:lineRule="auto"/>
        <w:rPr>
          <w:rFonts w:ascii="SimSun" w:hAnsi="SimSun" w:eastAsia="SimSun" w:cs="SimSun"/>
          <w:sz w:val="21"/>
          <w:szCs w:val="21"/>
        </w:rPr>
      </w:pPr>
      <w:r>
        <w:rPr>
          <w:rFonts w:ascii="SimSun" w:hAnsi="SimSun" w:eastAsia="SimSun" w:cs="SimSun"/>
          <w:sz w:val="21"/>
          <w:szCs w:val="21"/>
          <w:spacing w:val="-1"/>
        </w:rPr>
        <w:t>注：追溯包括追踪和溯源。</w:t>
      </w:r>
    </w:p>
    <w:p>
      <w:pPr>
        <w:spacing w:line="221" w:lineRule="auto"/>
        <w:sectPr>
          <w:headerReference w:type="default" r:id="rId6"/>
          <w:footerReference w:type="default" r:id="rId7"/>
          <w:pgSz w:w="11907" w:h="16839"/>
          <w:pgMar w:top="1028" w:right="1134" w:bottom="880" w:left="1420" w:header="703" w:footer="678" w:gutter="0"/>
        </w:sectPr>
        <w:rPr>
          <w:rFonts w:ascii="SimSun" w:hAnsi="SimSun" w:eastAsia="SimSun" w:cs="SimSun"/>
          <w:sz w:val="21"/>
          <w:szCs w:val="21"/>
        </w:rPr>
      </w:pPr>
    </w:p>
    <w:p>
      <w:pPr>
        <w:spacing w:before="154"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3.3</w:t>
      </w:r>
    </w:p>
    <w:p>
      <w:pPr>
        <w:pStyle w:val="BodyText"/>
        <w:spacing w:line="242" w:lineRule="auto"/>
        <w:rPr/>
      </w:pPr>
      <w:r/>
    </w:p>
    <w:p>
      <w:pPr>
        <w:ind w:left="418"/>
        <w:spacing w:before="68" w:line="213" w:lineRule="auto"/>
        <w:rPr>
          <w:rFonts w:ascii="Times New Roman" w:hAnsi="Times New Roman" w:eastAsia="Times New Roman" w:cs="Times New Roman"/>
          <w:sz w:val="21"/>
          <w:szCs w:val="21"/>
        </w:rPr>
      </w:pPr>
      <w:r>
        <w:rPr>
          <w:rFonts w:ascii="SimHei" w:hAnsi="SimHei" w:eastAsia="SimHei" w:cs="SimHei"/>
          <w:sz w:val="21"/>
          <w:szCs w:val="21"/>
          <w:spacing w:val="-1"/>
        </w:rPr>
        <w:t>追溯体系</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traceability system</w:t>
      </w:r>
    </w:p>
    <w:p>
      <w:pPr>
        <w:pStyle w:val="BodyText"/>
        <w:spacing w:line="291" w:lineRule="auto"/>
        <w:rPr/>
      </w:pPr>
      <w:r/>
    </w:p>
    <w:p>
      <w:pPr>
        <w:ind w:left="421" w:right="106" w:hanging="1"/>
        <w:spacing w:before="68" w:line="365" w:lineRule="auto"/>
        <w:rPr>
          <w:rFonts w:ascii="SimSun" w:hAnsi="SimSun" w:eastAsia="SimSun" w:cs="SimSun"/>
          <w:sz w:val="21"/>
          <w:szCs w:val="21"/>
        </w:rPr>
      </w:pPr>
      <w:r>
        <w:rPr>
          <w:rFonts w:ascii="SimSun" w:hAnsi="SimSun" w:eastAsia="SimSun" w:cs="SimSun"/>
          <w:sz w:val="21"/>
          <w:szCs w:val="21"/>
        </w:rPr>
        <w:t>支撑维护产品及其成分在整个供应链或部分生产和使用环节所期望获取包括产品历史、应用</w:t>
      </w:r>
      <w:r>
        <w:rPr>
          <w:rFonts w:ascii="SimSun" w:hAnsi="SimSun" w:eastAsia="SimSun" w:cs="SimSun"/>
          <w:sz w:val="21"/>
          <w:szCs w:val="21"/>
          <w:spacing w:val="-1"/>
        </w:rPr>
        <w:t>情况</w:t>
      </w:r>
      <w:r>
        <w:rPr>
          <w:rFonts w:ascii="SimSun" w:hAnsi="SimSun" w:eastAsia="SimSun" w:cs="SimSun"/>
          <w:sz w:val="21"/>
          <w:szCs w:val="21"/>
          <w:spacing w:val="-1"/>
        </w:rPr>
        <w:t>或所处位置等信息的相互关联或相互作用的一组连续性要素。</w:t>
      </w:r>
    </w:p>
    <w:p>
      <w:pPr>
        <w:spacing w:before="208"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3.4</w:t>
      </w:r>
    </w:p>
    <w:p>
      <w:pPr>
        <w:ind w:left="418"/>
        <w:spacing w:before="309" w:line="213" w:lineRule="auto"/>
        <w:rPr>
          <w:rFonts w:ascii="Times New Roman" w:hAnsi="Times New Roman" w:eastAsia="Times New Roman" w:cs="Times New Roman"/>
          <w:sz w:val="21"/>
          <w:szCs w:val="21"/>
        </w:rPr>
      </w:pPr>
      <w:r>
        <w:rPr>
          <w:rFonts w:ascii="SimHei" w:hAnsi="SimHei" w:eastAsia="SimHei" w:cs="SimHei"/>
          <w:sz w:val="21"/>
          <w:szCs w:val="21"/>
          <w:spacing w:val="-1"/>
        </w:rPr>
        <w:t>追溯系统</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traceability system</w:t>
      </w:r>
    </w:p>
    <w:p>
      <w:pPr>
        <w:pStyle w:val="BodyText"/>
        <w:spacing w:line="295" w:lineRule="auto"/>
        <w:rPr/>
      </w:pPr>
      <w:r/>
    </w:p>
    <w:p>
      <w:pPr>
        <w:ind w:left="418" w:right="106"/>
        <w:spacing w:before="68" w:line="363" w:lineRule="auto"/>
        <w:rPr>
          <w:rFonts w:ascii="SimSun" w:hAnsi="SimSun" w:eastAsia="SimSun" w:cs="SimSun"/>
          <w:sz w:val="21"/>
          <w:szCs w:val="21"/>
        </w:rPr>
      </w:pPr>
      <w:r>
        <w:rPr>
          <w:rFonts w:ascii="SimSun" w:hAnsi="SimSun" w:eastAsia="SimSun" w:cs="SimSun"/>
          <w:sz w:val="21"/>
          <w:szCs w:val="21"/>
        </w:rPr>
        <w:t>基于追溯码、文件记录、相关软硬件设备和通信网络，实现现代信息化管理并可获取产品追溯过</w:t>
      </w:r>
      <w:r>
        <w:rPr>
          <w:rFonts w:ascii="SimSun" w:hAnsi="SimSun" w:eastAsia="SimSun" w:cs="SimSun"/>
          <w:sz w:val="21"/>
          <w:szCs w:val="21"/>
          <w:spacing w:val="-1"/>
        </w:rPr>
        <w:t>程中相关数据的集成。</w:t>
      </w:r>
    </w:p>
    <w:p>
      <w:pPr>
        <w:spacing w:before="213"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3.5</w:t>
      </w:r>
    </w:p>
    <w:p>
      <w:pPr>
        <w:ind w:left="418"/>
        <w:spacing w:before="309" w:line="213" w:lineRule="auto"/>
        <w:rPr>
          <w:rFonts w:ascii="Times New Roman" w:hAnsi="Times New Roman" w:eastAsia="Times New Roman" w:cs="Times New Roman"/>
          <w:sz w:val="21"/>
          <w:szCs w:val="21"/>
        </w:rPr>
      </w:pPr>
      <w:r>
        <w:rPr>
          <w:rFonts w:ascii="SimHei" w:hAnsi="SimHei" w:eastAsia="SimHei" w:cs="SimHei"/>
          <w:sz w:val="21"/>
          <w:szCs w:val="21"/>
        </w:rPr>
        <w:t>追溯管理平台</w:t>
      </w:r>
      <w:r>
        <w:rPr>
          <w:rFonts w:ascii="SimHei" w:hAnsi="SimHei" w:eastAsia="SimHei" w:cs="SimHei"/>
          <w:sz w:val="21"/>
          <w:szCs w:val="21"/>
        </w:rPr>
        <w:t xml:space="preserve"> </w:t>
      </w:r>
      <w:r>
        <w:rPr>
          <w:rFonts w:ascii="Times New Roman" w:hAnsi="Times New Roman" w:eastAsia="Times New Roman" w:cs="Times New Roman"/>
          <w:sz w:val="21"/>
          <w:szCs w:val="21"/>
        </w:rPr>
        <w:t>traceability management pla</w:t>
      </w:r>
      <w:r>
        <w:rPr>
          <w:rFonts w:ascii="Times New Roman" w:hAnsi="Times New Roman" w:eastAsia="Times New Roman" w:cs="Times New Roman"/>
          <w:sz w:val="21"/>
          <w:szCs w:val="21"/>
          <w:spacing w:val="-1"/>
        </w:rPr>
        <w:t>tform</w:t>
      </w:r>
    </w:p>
    <w:p>
      <w:pPr>
        <w:pStyle w:val="BodyText"/>
        <w:spacing w:line="292" w:lineRule="auto"/>
        <w:rPr/>
      </w:pPr>
      <w:r/>
    </w:p>
    <w:p>
      <w:pPr>
        <w:ind w:left="418" w:right="106" w:firstLine="26"/>
        <w:spacing w:before="69" w:line="362" w:lineRule="auto"/>
        <w:jc w:val="both"/>
        <w:rPr>
          <w:rFonts w:ascii="SimSun" w:hAnsi="SimSun" w:eastAsia="SimSun" w:cs="SimSun"/>
          <w:sz w:val="21"/>
          <w:szCs w:val="21"/>
        </w:rPr>
      </w:pPr>
      <w:r>
        <w:rPr>
          <w:rFonts w:ascii="SimSun" w:hAnsi="SimSun" w:eastAsia="SimSun" w:cs="SimSun"/>
          <w:sz w:val="21"/>
          <w:szCs w:val="21"/>
          <w:spacing w:val="-1"/>
        </w:rPr>
        <w:t>由政府（或政府授权的机构）管理，具备追溯信息汇总、处理与综合分析利用等功能，支持对接</w:t>
      </w:r>
      <w:r>
        <w:rPr>
          <w:rFonts w:ascii="SimSun" w:hAnsi="SimSun" w:eastAsia="SimSun" w:cs="SimSun"/>
          <w:sz w:val="21"/>
          <w:szCs w:val="21"/>
        </w:rPr>
        <w:t>入的追溯系统运行情况进行监测评价，用于落实生产经营主体责任和产品质量安全监管的信息系</w:t>
      </w:r>
      <w:r>
        <w:rPr>
          <w:rFonts w:ascii="SimSun" w:hAnsi="SimSun" w:eastAsia="SimSun" w:cs="SimSun"/>
          <w:sz w:val="21"/>
          <w:szCs w:val="21"/>
          <w:spacing w:val="-1"/>
        </w:rPr>
        <w:t>统集合。</w:t>
      </w:r>
    </w:p>
    <w:p>
      <w:pPr>
        <w:spacing w:before="21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3.6</w:t>
      </w:r>
    </w:p>
    <w:p>
      <w:pPr>
        <w:pStyle w:val="BodyText"/>
        <w:spacing w:line="241" w:lineRule="auto"/>
        <w:rPr/>
      </w:pPr>
      <w:r/>
    </w:p>
    <w:p>
      <w:pPr>
        <w:ind w:left="418"/>
        <w:spacing w:before="69" w:line="213" w:lineRule="auto"/>
        <w:rPr>
          <w:rFonts w:ascii="Times New Roman" w:hAnsi="Times New Roman" w:eastAsia="Times New Roman" w:cs="Times New Roman"/>
          <w:sz w:val="21"/>
          <w:szCs w:val="21"/>
        </w:rPr>
      </w:pPr>
      <w:r>
        <w:rPr>
          <w:rFonts w:ascii="SimHei" w:hAnsi="SimHei" w:eastAsia="SimHei" w:cs="SimHei"/>
          <w:sz w:val="21"/>
          <w:szCs w:val="21"/>
        </w:rPr>
        <w:t>追溯服务平台</w:t>
      </w:r>
      <w:r>
        <w:rPr>
          <w:rFonts w:ascii="SimHei" w:hAnsi="SimHei" w:eastAsia="SimHei" w:cs="SimHei"/>
          <w:sz w:val="21"/>
          <w:szCs w:val="21"/>
        </w:rPr>
        <w:t xml:space="preserve"> </w:t>
      </w:r>
      <w:r>
        <w:rPr>
          <w:rFonts w:ascii="Times New Roman" w:hAnsi="Times New Roman" w:eastAsia="Times New Roman" w:cs="Times New Roman"/>
          <w:sz w:val="21"/>
          <w:szCs w:val="21"/>
        </w:rPr>
        <w:t>traceability service pl</w:t>
      </w:r>
      <w:r>
        <w:rPr>
          <w:rFonts w:ascii="Times New Roman" w:hAnsi="Times New Roman" w:eastAsia="Times New Roman" w:cs="Times New Roman"/>
          <w:sz w:val="21"/>
          <w:szCs w:val="21"/>
          <w:spacing w:val="-1"/>
        </w:rPr>
        <w:t>atform</w:t>
      </w:r>
    </w:p>
    <w:p>
      <w:pPr>
        <w:pStyle w:val="BodyText"/>
        <w:spacing w:line="291" w:lineRule="auto"/>
        <w:rPr/>
      </w:pPr>
      <w:r/>
    </w:p>
    <w:p>
      <w:pPr>
        <w:ind w:left="423" w:right="106" w:firstLine="17"/>
        <w:spacing w:before="69" w:line="363" w:lineRule="auto"/>
        <w:rPr>
          <w:rFonts w:ascii="SimSun" w:hAnsi="SimSun" w:eastAsia="SimSun" w:cs="SimSun"/>
          <w:sz w:val="21"/>
          <w:szCs w:val="21"/>
        </w:rPr>
      </w:pPr>
      <w:r>
        <w:rPr>
          <w:rFonts w:ascii="SimSun" w:hAnsi="SimSun" w:eastAsia="SimSun" w:cs="SimSun"/>
          <w:sz w:val="21"/>
          <w:szCs w:val="21"/>
        </w:rPr>
        <w:t>向政府、行业、企业和消费者提供产品和追</w:t>
      </w:r>
      <w:r>
        <w:rPr>
          <w:rFonts w:ascii="SimSun" w:hAnsi="SimSun" w:eastAsia="SimSun" w:cs="SimSun"/>
          <w:sz w:val="21"/>
          <w:szCs w:val="21"/>
          <w:spacing w:val="-1"/>
        </w:rPr>
        <w:t>溯主体基本信息、产品追溯码服务等追溯服务的信息</w:t>
      </w:r>
      <w:r>
        <w:rPr>
          <w:rFonts w:ascii="SimSun" w:hAnsi="SimSun" w:eastAsia="SimSun" w:cs="SimSun"/>
          <w:sz w:val="21"/>
          <w:szCs w:val="21"/>
          <w:spacing w:val="-5"/>
        </w:rPr>
        <w:t>系统集合。</w:t>
      </w:r>
    </w:p>
    <w:p>
      <w:pPr>
        <w:spacing w:before="213"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3.7</w:t>
      </w:r>
    </w:p>
    <w:p>
      <w:pPr>
        <w:ind w:left="418"/>
        <w:spacing w:before="309" w:line="213" w:lineRule="auto"/>
        <w:rPr>
          <w:rFonts w:ascii="Times New Roman" w:hAnsi="Times New Roman" w:eastAsia="Times New Roman" w:cs="Times New Roman"/>
          <w:sz w:val="21"/>
          <w:szCs w:val="21"/>
        </w:rPr>
      </w:pPr>
      <w:r>
        <w:rPr>
          <w:rFonts w:ascii="SimHei" w:hAnsi="SimHei" w:eastAsia="SimHei" w:cs="SimHei"/>
          <w:sz w:val="21"/>
          <w:szCs w:val="21"/>
          <w:spacing w:val="-1"/>
        </w:rPr>
        <w:t>追溯单元</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traceability unit</w:t>
      </w:r>
    </w:p>
    <w:p>
      <w:pPr>
        <w:pStyle w:val="BodyText"/>
        <w:spacing w:line="294" w:lineRule="auto"/>
        <w:rPr/>
      </w:pPr>
      <w:r/>
    </w:p>
    <w:p>
      <w:pPr>
        <w:ind w:left="419" w:right="106" w:firstLine="11"/>
        <w:spacing w:before="69" w:line="363" w:lineRule="auto"/>
        <w:rPr>
          <w:rFonts w:ascii="SimSun" w:hAnsi="SimSun" w:eastAsia="SimSun" w:cs="SimSun"/>
          <w:sz w:val="21"/>
          <w:szCs w:val="21"/>
        </w:rPr>
      </w:pPr>
      <w:r>
        <w:rPr>
          <w:rFonts w:ascii="SimSun" w:hAnsi="SimSun" w:eastAsia="SimSun" w:cs="SimSun"/>
          <w:sz w:val="21"/>
          <w:szCs w:val="21"/>
        </w:rPr>
        <w:t>需要对其历史、应用情况或所处位置的相关信息进行记录、标识并</w:t>
      </w:r>
      <w:r>
        <w:rPr>
          <w:rFonts w:ascii="SimSun" w:hAnsi="SimSun" w:eastAsia="SimSun" w:cs="SimSun"/>
          <w:sz w:val="21"/>
          <w:szCs w:val="21"/>
          <w:spacing w:val="-1"/>
        </w:rPr>
        <w:t>可追溯的单个产品、同一批次</w:t>
      </w:r>
      <w:r>
        <w:rPr>
          <w:rFonts w:ascii="SimSun" w:hAnsi="SimSun" w:eastAsia="SimSun" w:cs="SimSun"/>
          <w:sz w:val="21"/>
          <w:szCs w:val="21"/>
          <w:spacing w:val="-1"/>
        </w:rPr>
        <w:t>产品或同一品类产品。</w:t>
      </w:r>
    </w:p>
    <w:p>
      <w:pPr>
        <w:spacing w:before="213"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3.8</w:t>
      </w:r>
    </w:p>
    <w:p>
      <w:pPr>
        <w:ind w:left="418"/>
        <w:spacing w:before="309" w:line="213" w:lineRule="auto"/>
        <w:rPr>
          <w:rFonts w:ascii="Times New Roman" w:hAnsi="Times New Roman" w:eastAsia="Times New Roman" w:cs="Times New Roman"/>
          <w:sz w:val="21"/>
          <w:szCs w:val="21"/>
        </w:rPr>
      </w:pPr>
      <w:r>
        <w:rPr>
          <w:rFonts w:ascii="SimHei" w:hAnsi="SimHei" w:eastAsia="SimHei" w:cs="SimHei"/>
          <w:sz w:val="21"/>
          <w:szCs w:val="21"/>
          <w:spacing w:val="-1"/>
        </w:rPr>
        <w:t>追溯码</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traceability code</w:t>
      </w:r>
    </w:p>
    <w:p>
      <w:pPr>
        <w:pStyle w:val="BodyText"/>
        <w:spacing w:line="293" w:lineRule="auto"/>
        <w:rPr/>
      </w:pPr>
      <w:r/>
    </w:p>
    <w:p>
      <w:pPr>
        <w:ind w:left="419"/>
        <w:spacing w:before="69" w:line="221" w:lineRule="auto"/>
        <w:rPr>
          <w:rFonts w:ascii="SimSun" w:hAnsi="SimSun" w:eastAsia="SimSun" w:cs="SimSun"/>
          <w:sz w:val="21"/>
          <w:szCs w:val="21"/>
        </w:rPr>
      </w:pPr>
      <w:r>
        <w:rPr>
          <w:rFonts w:ascii="SimSun" w:hAnsi="SimSun" w:eastAsia="SimSun" w:cs="SimSun"/>
          <w:sz w:val="21"/>
          <w:szCs w:val="21"/>
          <w:spacing w:val="-1"/>
        </w:rPr>
        <w:t>追溯系统中对追溯单元进行唯一标识的代码。</w:t>
      </w:r>
    </w:p>
    <w:p>
      <w:pPr>
        <w:pStyle w:val="BodyText"/>
        <w:spacing w:line="314" w:lineRule="auto"/>
        <w:rPr/>
      </w:pPr>
      <w:r/>
    </w:p>
    <w:p>
      <w:pPr>
        <w:spacing w:before="6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3.9</w:t>
      </w:r>
    </w:p>
    <w:p>
      <w:pPr>
        <w:ind w:left="418"/>
        <w:spacing w:before="310" w:line="213" w:lineRule="auto"/>
        <w:rPr>
          <w:rFonts w:ascii="Times New Roman" w:hAnsi="Times New Roman" w:eastAsia="Times New Roman" w:cs="Times New Roman"/>
          <w:sz w:val="21"/>
          <w:szCs w:val="21"/>
        </w:rPr>
      </w:pPr>
      <w:r>
        <w:rPr>
          <w:rFonts w:ascii="SimHei" w:hAnsi="SimHei" w:eastAsia="SimHei" w:cs="SimHei"/>
          <w:sz w:val="21"/>
          <w:szCs w:val="21"/>
        </w:rPr>
        <w:t>追溯信息</w:t>
      </w:r>
      <w:r>
        <w:rPr>
          <w:rFonts w:ascii="SimHei" w:hAnsi="SimHei" w:eastAsia="SimHei" w:cs="SimHei"/>
          <w:sz w:val="21"/>
          <w:szCs w:val="21"/>
        </w:rPr>
        <w:t xml:space="preserve"> </w:t>
      </w:r>
      <w:r>
        <w:rPr>
          <w:rFonts w:ascii="Times New Roman" w:hAnsi="Times New Roman" w:eastAsia="Times New Roman" w:cs="Times New Roman"/>
          <w:sz w:val="21"/>
          <w:szCs w:val="21"/>
        </w:rPr>
        <w:t>traceability in</w:t>
      </w:r>
      <w:r>
        <w:rPr>
          <w:rFonts w:ascii="Times New Roman" w:hAnsi="Times New Roman" w:eastAsia="Times New Roman" w:cs="Times New Roman"/>
          <w:sz w:val="21"/>
          <w:szCs w:val="21"/>
          <w:spacing w:val="-1"/>
        </w:rPr>
        <w:t>formation</w:t>
      </w:r>
    </w:p>
    <w:p>
      <w:pPr>
        <w:pStyle w:val="BodyText"/>
        <w:spacing w:line="296" w:lineRule="auto"/>
        <w:rPr/>
      </w:pPr>
      <w:r/>
    </w:p>
    <w:p>
      <w:pPr>
        <w:ind w:left="423"/>
        <w:spacing w:before="69" w:line="221" w:lineRule="auto"/>
        <w:rPr>
          <w:rFonts w:ascii="SimSun" w:hAnsi="SimSun" w:eastAsia="SimSun" w:cs="SimSun"/>
          <w:sz w:val="21"/>
          <w:szCs w:val="21"/>
        </w:rPr>
      </w:pPr>
      <w:r>
        <w:rPr>
          <w:rFonts w:ascii="SimSun" w:hAnsi="SimSun" w:eastAsia="SimSun" w:cs="SimSun"/>
          <w:sz w:val="21"/>
          <w:szCs w:val="21"/>
          <w:spacing w:val="-1"/>
        </w:rPr>
        <w:t>与追溯对象及其历史、应用情况或所处位置相关的</w:t>
      </w:r>
      <w:r>
        <w:rPr>
          <w:rFonts w:ascii="SimSun" w:hAnsi="SimSun" w:eastAsia="SimSun" w:cs="SimSun"/>
          <w:sz w:val="21"/>
          <w:szCs w:val="21"/>
          <w:spacing w:val="-2"/>
        </w:rPr>
        <w:t>信息。</w:t>
      </w:r>
    </w:p>
    <w:p>
      <w:pPr>
        <w:spacing w:line="221" w:lineRule="auto"/>
        <w:sectPr>
          <w:headerReference w:type="default" r:id="rId8"/>
          <w:footerReference w:type="default" r:id="rId9"/>
          <w:pgSz w:w="11907" w:h="16839"/>
          <w:pgMar w:top="1028" w:right="1134" w:bottom="880" w:left="1425" w:header="703" w:footer="678" w:gutter="0"/>
        </w:sectPr>
        <w:rPr>
          <w:rFonts w:ascii="SimSun" w:hAnsi="SimSun" w:eastAsia="SimSun" w:cs="SimSun"/>
          <w:sz w:val="21"/>
          <w:szCs w:val="21"/>
        </w:rPr>
      </w:pPr>
    </w:p>
    <w:p>
      <w:pPr>
        <w:ind w:left="5"/>
        <w:spacing w:before="154"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3.10</w:t>
      </w:r>
    </w:p>
    <w:p>
      <w:pPr>
        <w:pStyle w:val="BodyText"/>
        <w:spacing w:line="242" w:lineRule="auto"/>
        <w:rPr/>
      </w:pPr>
      <w:r/>
    </w:p>
    <w:p>
      <w:pPr>
        <w:ind w:left="424"/>
        <w:spacing w:before="68" w:line="213" w:lineRule="auto"/>
        <w:rPr>
          <w:rFonts w:ascii="Times New Roman" w:hAnsi="Times New Roman" w:eastAsia="Times New Roman" w:cs="Times New Roman"/>
          <w:sz w:val="21"/>
          <w:szCs w:val="21"/>
        </w:rPr>
      </w:pPr>
      <w:r>
        <w:rPr>
          <w:rFonts w:ascii="SimHei" w:hAnsi="SimHei" w:eastAsia="SimHei" w:cs="SimHei"/>
          <w:sz w:val="21"/>
          <w:szCs w:val="21"/>
        </w:rPr>
        <w:t>追溯参与方</w:t>
      </w:r>
      <w:r>
        <w:rPr>
          <w:rFonts w:ascii="SimHei" w:hAnsi="SimHei" w:eastAsia="SimHei" w:cs="SimHei"/>
          <w:sz w:val="21"/>
          <w:szCs w:val="21"/>
        </w:rPr>
        <w:t xml:space="preserve"> </w:t>
      </w:r>
      <w:r>
        <w:rPr>
          <w:rFonts w:ascii="Times New Roman" w:hAnsi="Times New Roman" w:eastAsia="Times New Roman" w:cs="Times New Roman"/>
          <w:sz w:val="21"/>
          <w:szCs w:val="21"/>
        </w:rPr>
        <w:t>traceability pa</w:t>
      </w:r>
      <w:r>
        <w:rPr>
          <w:rFonts w:ascii="Times New Roman" w:hAnsi="Times New Roman" w:eastAsia="Times New Roman" w:cs="Times New Roman"/>
          <w:sz w:val="21"/>
          <w:szCs w:val="21"/>
          <w:spacing w:val="-1"/>
        </w:rPr>
        <w:t>rticipant</w:t>
      </w:r>
    </w:p>
    <w:p>
      <w:pPr>
        <w:pStyle w:val="BodyText"/>
        <w:spacing w:line="293" w:lineRule="auto"/>
        <w:rPr/>
      </w:pPr>
      <w:r/>
    </w:p>
    <w:p>
      <w:pPr>
        <w:ind w:left="426"/>
        <w:spacing w:before="69" w:line="221" w:lineRule="auto"/>
        <w:rPr>
          <w:rFonts w:ascii="SimSun" w:hAnsi="SimSun" w:eastAsia="SimSun" w:cs="SimSun"/>
          <w:sz w:val="21"/>
          <w:szCs w:val="21"/>
        </w:rPr>
      </w:pPr>
      <w:r>
        <w:rPr>
          <w:rFonts w:ascii="SimSun" w:hAnsi="SimSun" w:eastAsia="SimSun" w:cs="SimSun"/>
          <w:sz w:val="21"/>
          <w:szCs w:val="21"/>
        </w:rPr>
        <w:t>参与追溯体系建立、运行、维护和使用活动的组</w:t>
      </w:r>
      <w:r>
        <w:rPr>
          <w:rFonts w:ascii="SimSun" w:hAnsi="SimSun" w:eastAsia="SimSun" w:cs="SimSun"/>
          <w:sz w:val="21"/>
          <w:szCs w:val="21"/>
          <w:spacing w:val="-1"/>
        </w:rPr>
        <w:t>织或个人。</w:t>
      </w:r>
    </w:p>
    <w:p>
      <w:pPr>
        <w:pStyle w:val="BodyText"/>
        <w:spacing w:line="314" w:lineRule="auto"/>
        <w:rPr/>
      </w:pPr>
      <w:r/>
    </w:p>
    <w:p>
      <w:pPr>
        <w:ind w:left="5"/>
        <w:spacing w:before="61"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3.11</w:t>
      </w:r>
    </w:p>
    <w:p>
      <w:pPr>
        <w:ind w:left="427"/>
        <w:spacing w:before="308" w:line="237" w:lineRule="auto"/>
        <w:rPr>
          <w:rFonts w:ascii="Times New Roman" w:hAnsi="Times New Roman" w:eastAsia="Times New Roman" w:cs="Times New Roman"/>
          <w:sz w:val="21"/>
          <w:szCs w:val="21"/>
        </w:rPr>
      </w:pPr>
      <w:r>
        <w:rPr>
          <w:rFonts w:ascii="SimHei" w:hAnsi="SimHei" w:eastAsia="SimHei" w:cs="SimHei"/>
          <w:sz w:val="21"/>
          <w:szCs w:val="21"/>
          <w:spacing w:val="-1"/>
        </w:rPr>
        <w:t>召回</w:t>
      </w:r>
      <w:r>
        <w:rPr>
          <w:rFonts w:ascii="SimHei" w:hAnsi="SimHei" w:eastAsia="SimHei" w:cs="SimHei"/>
          <w:sz w:val="21"/>
          <w:szCs w:val="21"/>
          <w:spacing w:val="-1"/>
        </w:rPr>
        <w:t xml:space="preserve"> </w:t>
      </w:r>
      <w:r>
        <w:rPr>
          <w:rFonts w:ascii="Times New Roman" w:hAnsi="Times New Roman" w:eastAsia="Times New Roman" w:cs="Times New Roman"/>
          <w:sz w:val="21"/>
          <w:szCs w:val="21"/>
          <w:spacing w:val="-1"/>
        </w:rPr>
        <w:t>recall</w:t>
      </w:r>
    </w:p>
    <w:p>
      <w:pPr>
        <w:pStyle w:val="BodyText"/>
        <w:spacing w:line="268" w:lineRule="auto"/>
        <w:rPr/>
      </w:pPr>
      <w:r/>
    </w:p>
    <w:p>
      <w:pPr>
        <w:ind w:left="424" w:right="260"/>
        <w:spacing w:before="68" w:line="363" w:lineRule="auto"/>
        <w:rPr>
          <w:rFonts w:ascii="SimSun" w:hAnsi="SimSun" w:eastAsia="SimSun" w:cs="SimSun"/>
          <w:sz w:val="21"/>
          <w:szCs w:val="21"/>
        </w:rPr>
      </w:pPr>
      <w:r>
        <w:rPr>
          <w:rFonts w:ascii="SimSun" w:hAnsi="SimSun" w:eastAsia="SimSun" w:cs="SimSun"/>
          <w:sz w:val="21"/>
          <w:szCs w:val="21"/>
        </w:rPr>
        <w:t>供方因交付产品存在质量、安全或健康卫生问题而采取的退回、换货、维修等方式消除问题的过</w:t>
      </w:r>
      <w:r>
        <w:rPr>
          <w:rFonts w:ascii="SimSun" w:hAnsi="SimSun" w:eastAsia="SimSun" w:cs="SimSun"/>
          <w:sz w:val="21"/>
          <w:szCs w:val="21"/>
          <w:spacing w:val="-10"/>
        </w:rPr>
        <w:t>程。</w:t>
      </w:r>
    </w:p>
    <w:p>
      <w:pPr>
        <w:spacing w:before="252" w:line="234" w:lineRule="auto"/>
        <w:outlineLvl w:val="0"/>
        <w:rPr>
          <w:rFonts w:ascii="SimHei" w:hAnsi="SimHei" w:eastAsia="SimHei" w:cs="SimHei"/>
          <w:sz w:val="21"/>
          <w:szCs w:val="21"/>
        </w:rPr>
      </w:pPr>
      <w:bookmarkStart w:name="bookmark5" w:id="6"/>
      <w:bookmarkEnd w:id="6"/>
      <w:r>
        <w:rPr>
          <w:rFonts w:ascii="Times New Roman" w:hAnsi="Times New Roman" w:eastAsia="Times New Roman" w:cs="Times New Roman"/>
          <w:sz w:val="21"/>
          <w:szCs w:val="21"/>
          <w:spacing w:val="-1"/>
        </w:rPr>
        <w:t>4 </w:t>
      </w:r>
      <w:r>
        <w:rPr>
          <w:rFonts w:ascii="SimHei" w:hAnsi="SimHei" w:eastAsia="SimHei" w:cs="SimHei"/>
          <w:sz w:val="21"/>
          <w:szCs w:val="21"/>
          <w:spacing w:val="-1"/>
        </w:rPr>
        <w:t>组织环境</w:t>
      </w:r>
    </w:p>
    <w:p>
      <w:pPr>
        <w:spacing w:before="250" w:line="234" w:lineRule="auto"/>
        <w:outlineLvl w:val="1"/>
        <w:rPr>
          <w:rFonts w:ascii="SimHei" w:hAnsi="SimHei" w:eastAsia="SimHei" w:cs="SimHei"/>
          <w:sz w:val="21"/>
          <w:szCs w:val="21"/>
        </w:rPr>
      </w:pPr>
      <w:bookmarkStart w:name="bookmark6" w:id="7"/>
      <w:bookmarkEnd w:id="7"/>
      <w:r>
        <w:rPr>
          <w:rFonts w:ascii="Times New Roman" w:hAnsi="Times New Roman" w:eastAsia="Times New Roman" w:cs="Times New Roman"/>
          <w:sz w:val="21"/>
          <w:szCs w:val="21"/>
          <w:spacing w:val="-1"/>
        </w:rPr>
        <w:t>4.1 </w:t>
      </w:r>
      <w:r>
        <w:rPr>
          <w:rFonts w:ascii="SimHei" w:hAnsi="SimHei" w:eastAsia="SimHei" w:cs="SimHei"/>
          <w:sz w:val="21"/>
          <w:szCs w:val="21"/>
          <w:spacing w:val="-1"/>
        </w:rPr>
        <w:t>理解组织及其环境</w:t>
      </w:r>
    </w:p>
    <w:p>
      <w:pPr>
        <w:ind w:left="21" w:right="161" w:firstLine="406"/>
        <w:spacing w:before="163" w:line="360" w:lineRule="auto"/>
        <w:rPr>
          <w:rFonts w:ascii="SimSun" w:hAnsi="SimSun" w:eastAsia="SimSun" w:cs="SimSun"/>
          <w:sz w:val="21"/>
          <w:szCs w:val="21"/>
        </w:rPr>
      </w:pPr>
      <w:r>
        <w:rPr>
          <w:rFonts w:ascii="SimSun" w:hAnsi="SimSun" w:eastAsia="SimSun" w:cs="SimSun"/>
          <w:sz w:val="21"/>
          <w:szCs w:val="21"/>
          <w:spacing w:val="2"/>
        </w:rPr>
        <w:t>组织应确定与其宗旨和战略方向相关、并影响其实现可追溯管理体系预期结果能力的外部和内部</w:t>
      </w:r>
      <w:r>
        <w:rPr>
          <w:rFonts w:ascii="SimSun" w:hAnsi="SimSun" w:eastAsia="SimSun" w:cs="SimSun"/>
          <w:sz w:val="21"/>
          <w:szCs w:val="21"/>
          <w:spacing w:val="-12"/>
        </w:rPr>
        <w:t>因素。</w:t>
      </w:r>
    </w:p>
    <w:p>
      <w:pPr>
        <w:ind w:left="30" w:firstLine="398"/>
        <w:spacing w:before="1" w:line="358" w:lineRule="auto"/>
        <w:rPr>
          <w:rFonts w:ascii="SimSun" w:hAnsi="SimSun" w:eastAsia="SimSun" w:cs="SimSun"/>
          <w:sz w:val="21"/>
          <w:szCs w:val="21"/>
        </w:rPr>
      </w:pPr>
      <w:r>
        <w:rPr>
          <w:rFonts w:ascii="SimSun" w:hAnsi="SimSun" w:eastAsia="SimSun" w:cs="SimSun"/>
          <w:sz w:val="21"/>
          <w:szCs w:val="21"/>
          <w:spacing w:val="1"/>
        </w:rPr>
        <w:t>外部因素可包括法律法规要求、监管要求、行业要求、市场环境、技术发展和供应链状况等方面；</w:t>
      </w:r>
      <w:r>
        <w:rPr>
          <w:rFonts w:ascii="SimSun" w:hAnsi="SimSun" w:eastAsia="SimSun" w:cs="SimSun"/>
          <w:sz w:val="21"/>
          <w:szCs w:val="21"/>
          <w:spacing w:val="-2"/>
        </w:rPr>
        <w:t>内部因素可包括产品特点、组织文化、资源、能力和业务流程等方面。</w:t>
      </w:r>
    </w:p>
    <w:p>
      <w:pPr>
        <w:ind w:left="427"/>
        <w:spacing w:before="1" w:line="220" w:lineRule="auto"/>
        <w:rPr>
          <w:rFonts w:ascii="SimSun" w:hAnsi="SimSun" w:eastAsia="SimSun" w:cs="SimSun"/>
          <w:sz w:val="21"/>
          <w:szCs w:val="21"/>
        </w:rPr>
      </w:pPr>
      <w:r>
        <w:rPr>
          <w:rFonts w:ascii="SimSun" w:hAnsi="SimSun" w:eastAsia="SimSun" w:cs="SimSun"/>
          <w:sz w:val="21"/>
          <w:szCs w:val="21"/>
          <w:spacing w:val="-1"/>
        </w:rPr>
        <w:t>组织应监视和评审有关这些外部和内部因素的信息。</w:t>
      </w:r>
    </w:p>
    <w:p>
      <w:pPr>
        <w:pStyle w:val="BodyText"/>
        <w:spacing w:line="253" w:lineRule="auto"/>
        <w:rPr/>
      </w:pPr>
      <w:r/>
    </w:p>
    <w:p>
      <w:pPr>
        <w:spacing w:before="68" w:line="233" w:lineRule="auto"/>
        <w:outlineLvl w:val="1"/>
        <w:rPr>
          <w:rFonts w:ascii="SimHei" w:hAnsi="SimHei" w:eastAsia="SimHei" w:cs="SimHei"/>
          <w:sz w:val="21"/>
          <w:szCs w:val="21"/>
        </w:rPr>
      </w:pPr>
      <w:bookmarkStart w:name="bookmark7" w:id="8"/>
      <w:bookmarkEnd w:id="8"/>
      <w:r>
        <w:rPr>
          <w:rFonts w:ascii="Times New Roman" w:hAnsi="Times New Roman" w:eastAsia="Times New Roman" w:cs="Times New Roman"/>
          <w:sz w:val="21"/>
          <w:szCs w:val="21"/>
          <w:spacing w:val="-1"/>
        </w:rPr>
        <w:t>4.2 </w:t>
      </w:r>
      <w:r>
        <w:rPr>
          <w:rFonts w:ascii="SimHei" w:hAnsi="SimHei" w:eastAsia="SimHei" w:cs="SimHei"/>
          <w:sz w:val="21"/>
          <w:szCs w:val="21"/>
          <w:spacing w:val="-1"/>
        </w:rPr>
        <w:t>理解相关方的需求和期望</w:t>
      </w:r>
    </w:p>
    <w:p>
      <w:pPr>
        <w:ind w:left="427"/>
        <w:spacing w:before="165" w:line="221" w:lineRule="auto"/>
        <w:rPr>
          <w:rFonts w:ascii="SimSun" w:hAnsi="SimSun" w:eastAsia="SimSun" w:cs="SimSun"/>
          <w:sz w:val="21"/>
          <w:szCs w:val="21"/>
        </w:rPr>
      </w:pPr>
      <w:r>
        <w:rPr>
          <w:rFonts w:ascii="SimSun" w:hAnsi="SimSun" w:eastAsia="SimSun" w:cs="SimSun"/>
          <w:sz w:val="21"/>
          <w:szCs w:val="21"/>
          <w:spacing w:val="-2"/>
        </w:rPr>
        <w:t>组织应确定：</w:t>
      </w:r>
    </w:p>
    <w:p>
      <w:pPr>
        <w:ind w:left="414"/>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与可追溯管理体系有关的相关方；</w:t>
      </w:r>
    </w:p>
    <w:p>
      <w:pPr>
        <w:ind w:left="414"/>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这些相关方的相关要求。</w:t>
      </w:r>
    </w:p>
    <w:p>
      <w:pPr>
        <w:ind w:left="424"/>
        <w:spacing w:before="159" w:line="220" w:lineRule="auto"/>
        <w:rPr>
          <w:rFonts w:ascii="SimSun" w:hAnsi="SimSun" w:eastAsia="SimSun" w:cs="SimSun"/>
          <w:sz w:val="21"/>
          <w:szCs w:val="21"/>
        </w:rPr>
      </w:pPr>
      <w:r>
        <w:rPr>
          <w:rFonts w:ascii="SimSun" w:hAnsi="SimSun" w:eastAsia="SimSun" w:cs="SimSun"/>
          <w:sz w:val="21"/>
          <w:szCs w:val="21"/>
        </w:rPr>
        <w:t>相关方可包括监管机构、顾客、消费者、供应链上下游参与方、员工、投资者和行业组织等。</w:t>
      </w:r>
    </w:p>
    <w:p>
      <w:pPr>
        <w:ind w:left="427"/>
        <w:spacing w:before="157" w:line="221" w:lineRule="auto"/>
        <w:rPr>
          <w:rFonts w:ascii="SimSun" w:hAnsi="SimSun" w:eastAsia="SimSun" w:cs="SimSun"/>
          <w:sz w:val="21"/>
          <w:szCs w:val="21"/>
        </w:rPr>
      </w:pPr>
      <w:r>
        <w:rPr>
          <w:rFonts w:ascii="SimSun" w:hAnsi="SimSun" w:eastAsia="SimSun" w:cs="SimSun"/>
          <w:sz w:val="21"/>
          <w:szCs w:val="21"/>
          <w:spacing w:val="-1"/>
        </w:rPr>
        <w:t>组织应监视和评审这些相关方及其相关要求的信息。</w:t>
      </w:r>
    </w:p>
    <w:p>
      <w:pPr>
        <w:pStyle w:val="BodyText"/>
        <w:spacing w:line="250" w:lineRule="auto"/>
        <w:rPr/>
      </w:pPr>
      <w:r/>
    </w:p>
    <w:p>
      <w:pPr>
        <w:spacing w:before="69" w:line="234" w:lineRule="auto"/>
        <w:outlineLvl w:val="1"/>
        <w:rPr>
          <w:rFonts w:ascii="SimHei" w:hAnsi="SimHei" w:eastAsia="SimHei" w:cs="SimHei"/>
          <w:sz w:val="21"/>
          <w:szCs w:val="21"/>
        </w:rPr>
      </w:pPr>
      <w:bookmarkStart w:name="bookmark8" w:id="9"/>
      <w:bookmarkEnd w:id="9"/>
      <w:r>
        <w:rPr>
          <w:rFonts w:ascii="Times New Roman" w:hAnsi="Times New Roman" w:eastAsia="Times New Roman" w:cs="Times New Roman"/>
          <w:sz w:val="21"/>
          <w:szCs w:val="21"/>
          <w:spacing w:val="-1"/>
        </w:rPr>
        <w:t>4.3 </w:t>
      </w:r>
      <w:r>
        <w:rPr>
          <w:rFonts w:ascii="SimHei" w:hAnsi="SimHei" w:eastAsia="SimHei" w:cs="SimHei"/>
          <w:sz w:val="21"/>
          <w:szCs w:val="21"/>
          <w:spacing w:val="-1"/>
        </w:rPr>
        <w:t>确定可追溯管理体系的范围</w:t>
      </w:r>
    </w:p>
    <w:p>
      <w:pPr>
        <w:ind w:left="427"/>
        <w:spacing w:before="166" w:line="221" w:lineRule="auto"/>
        <w:rPr>
          <w:rFonts w:ascii="SimSun" w:hAnsi="SimSun" w:eastAsia="SimSun" w:cs="SimSun"/>
          <w:sz w:val="21"/>
          <w:szCs w:val="21"/>
        </w:rPr>
      </w:pPr>
      <w:r>
        <w:rPr>
          <w:rFonts w:ascii="SimSun" w:hAnsi="SimSun" w:eastAsia="SimSun" w:cs="SimSun"/>
          <w:sz w:val="21"/>
          <w:szCs w:val="21"/>
          <w:spacing w:val="-1"/>
        </w:rPr>
        <w:t>组织应确定可追溯管理体系的边界和适用性，以确定其范围。</w:t>
      </w:r>
    </w:p>
    <w:p>
      <w:pPr>
        <w:ind w:left="424"/>
        <w:spacing w:before="157" w:line="220" w:lineRule="auto"/>
        <w:rPr>
          <w:rFonts w:ascii="SimSun" w:hAnsi="SimSun" w:eastAsia="SimSun" w:cs="SimSun"/>
          <w:sz w:val="21"/>
          <w:szCs w:val="21"/>
        </w:rPr>
      </w:pPr>
      <w:r>
        <w:rPr>
          <w:rFonts w:ascii="SimSun" w:hAnsi="SimSun" w:eastAsia="SimSun" w:cs="SimSun"/>
          <w:sz w:val="21"/>
          <w:szCs w:val="21"/>
          <w:spacing w:val="-1"/>
        </w:rPr>
        <w:t>确定范围时，组织应确定追溯对象、追溯单元以及追溯环节，并考虑：</w:t>
      </w:r>
    </w:p>
    <w:p>
      <w:pPr>
        <w:ind w:left="414"/>
        <w:spacing w:before="159" w:line="234" w:lineRule="auto"/>
        <w:rPr>
          <w:rFonts w:ascii="SimSun" w:hAnsi="SimSun" w:eastAsia="SimSun" w:cs="SimSun"/>
          <w:sz w:val="21"/>
          <w:szCs w:val="21"/>
        </w:rPr>
      </w:pPr>
      <w:r>
        <w:rPr>
          <w:rFonts w:ascii="Times New Roman" w:hAnsi="Times New Roman" w:eastAsia="Times New Roman" w:cs="Times New Roman"/>
          <w:sz w:val="21"/>
          <w:szCs w:val="21"/>
          <w:spacing w:val="-2"/>
        </w:rPr>
        <w:t>—— 4.1 </w:t>
      </w:r>
      <w:r>
        <w:rPr>
          <w:rFonts w:ascii="SimSun" w:hAnsi="SimSun" w:eastAsia="SimSun" w:cs="SimSun"/>
          <w:sz w:val="21"/>
          <w:szCs w:val="21"/>
          <w:spacing w:val="-2"/>
        </w:rPr>
        <w:t>所提及的外部和内部因素；</w:t>
      </w:r>
    </w:p>
    <w:p>
      <w:pPr>
        <w:ind w:left="414"/>
        <w:spacing w:before="141" w:line="235" w:lineRule="auto"/>
        <w:rPr>
          <w:rFonts w:ascii="SimSun" w:hAnsi="SimSun" w:eastAsia="SimSun" w:cs="SimSun"/>
          <w:sz w:val="21"/>
          <w:szCs w:val="21"/>
        </w:rPr>
      </w:pPr>
      <w:r>
        <w:rPr>
          <w:rFonts w:ascii="Times New Roman" w:hAnsi="Times New Roman" w:eastAsia="Times New Roman" w:cs="Times New Roman"/>
          <w:sz w:val="21"/>
          <w:szCs w:val="21"/>
          <w:spacing w:val="-3"/>
        </w:rPr>
        <w:t>—— 4.2 </w:t>
      </w:r>
      <w:r>
        <w:rPr>
          <w:rFonts w:ascii="SimSun" w:hAnsi="SimSun" w:eastAsia="SimSun" w:cs="SimSun"/>
          <w:sz w:val="21"/>
          <w:szCs w:val="21"/>
          <w:spacing w:val="-3"/>
        </w:rPr>
        <w:t>所提及的相关方要求；</w:t>
      </w:r>
    </w:p>
    <w:p>
      <w:pPr>
        <w:ind w:left="414"/>
        <w:spacing w:before="142"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产品特点和追溯特性；</w:t>
      </w:r>
    </w:p>
    <w:p>
      <w:pPr>
        <w:ind w:left="414"/>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组织在供应链中所处的环节及其追溯职责。</w:t>
      </w:r>
    </w:p>
    <w:p>
      <w:pPr>
        <w:ind w:left="427"/>
        <w:spacing w:before="158" w:line="221" w:lineRule="auto"/>
        <w:rPr>
          <w:rFonts w:ascii="SimSun" w:hAnsi="SimSun" w:eastAsia="SimSun" w:cs="SimSun"/>
          <w:sz w:val="21"/>
          <w:szCs w:val="21"/>
        </w:rPr>
      </w:pPr>
      <w:r>
        <w:rPr>
          <w:rFonts w:ascii="SimSun" w:hAnsi="SimSun" w:eastAsia="SimSun" w:cs="SimSun"/>
          <w:sz w:val="21"/>
          <w:szCs w:val="21"/>
          <w:spacing w:val="-2"/>
        </w:rPr>
        <w:t>组织应保持可追溯管理体系范围的成文信息。</w:t>
      </w:r>
    </w:p>
    <w:p>
      <w:pPr>
        <w:pStyle w:val="BodyText"/>
        <w:spacing w:line="250" w:lineRule="auto"/>
        <w:rPr/>
      </w:pPr>
      <w:r/>
    </w:p>
    <w:p>
      <w:pPr>
        <w:spacing w:before="69" w:line="234" w:lineRule="auto"/>
        <w:outlineLvl w:val="1"/>
        <w:rPr>
          <w:rFonts w:ascii="SimHei" w:hAnsi="SimHei" w:eastAsia="SimHei" w:cs="SimHei"/>
          <w:sz w:val="21"/>
          <w:szCs w:val="21"/>
        </w:rPr>
      </w:pPr>
      <w:bookmarkStart w:name="bookmark9" w:id="10"/>
      <w:bookmarkEnd w:id="10"/>
      <w:r>
        <w:rPr>
          <w:rFonts w:ascii="Times New Roman" w:hAnsi="Times New Roman" w:eastAsia="Times New Roman" w:cs="Times New Roman"/>
          <w:sz w:val="21"/>
          <w:szCs w:val="21"/>
          <w:spacing w:val="-1"/>
        </w:rPr>
        <w:t>4.4 </w:t>
      </w:r>
      <w:r>
        <w:rPr>
          <w:rFonts w:ascii="SimHei" w:hAnsi="SimHei" w:eastAsia="SimHei" w:cs="SimHei"/>
          <w:sz w:val="21"/>
          <w:szCs w:val="21"/>
          <w:spacing w:val="-1"/>
        </w:rPr>
        <w:t>可追溯管理体系及其过程</w:t>
      </w:r>
    </w:p>
    <w:p>
      <w:pPr>
        <w:ind w:left="8" w:right="161" w:firstLine="419"/>
        <w:spacing w:before="166" w:line="361" w:lineRule="auto"/>
        <w:rPr>
          <w:rFonts w:ascii="SimSun" w:hAnsi="SimSun" w:eastAsia="SimSun" w:cs="SimSun"/>
          <w:sz w:val="21"/>
          <w:szCs w:val="21"/>
        </w:rPr>
      </w:pPr>
      <w:r>
        <w:rPr>
          <w:rFonts w:ascii="SimSun" w:hAnsi="SimSun" w:eastAsia="SimSun" w:cs="SimSun"/>
          <w:sz w:val="21"/>
          <w:szCs w:val="21"/>
          <w:spacing w:val="2"/>
        </w:rPr>
        <w:t>组织应按照本文件的要求建立、实施、保持和持续改进可追溯管理体系，包括所需的过程及其相</w:t>
      </w:r>
      <w:r>
        <w:rPr>
          <w:rFonts w:ascii="SimSun" w:hAnsi="SimSun" w:eastAsia="SimSun" w:cs="SimSun"/>
          <w:sz w:val="21"/>
          <w:szCs w:val="21"/>
          <w:spacing w:val="-3"/>
        </w:rPr>
        <w:t>互作用。</w:t>
      </w:r>
    </w:p>
    <w:p>
      <w:pPr>
        <w:spacing w:line="361" w:lineRule="auto"/>
        <w:sectPr>
          <w:headerReference w:type="default" r:id="rId10"/>
          <w:footerReference w:type="default" r:id="rId11"/>
          <w:pgSz w:w="11907" w:h="16839"/>
          <w:pgMar w:top="1028" w:right="981" w:bottom="880" w:left="1419" w:header="703" w:footer="680" w:gutter="0"/>
        </w:sectPr>
        <w:rPr>
          <w:rFonts w:ascii="SimSun" w:hAnsi="SimSun" w:eastAsia="SimSun" w:cs="SimSun"/>
          <w:sz w:val="21"/>
          <w:szCs w:val="21"/>
        </w:rPr>
      </w:pPr>
    </w:p>
    <w:p>
      <w:pPr>
        <w:ind w:left="5" w:right="8" w:firstLine="421"/>
        <w:spacing w:before="133" w:line="363" w:lineRule="auto"/>
        <w:rPr>
          <w:rFonts w:ascii="SimSun" w:hAnsi="SimSun" w:eastAsia="SimSun" w:cs="SimSun"/>
          <w:sz w:val="21"/>
          <w:szCs w:val="21"/>
        </w:rPr>
      </w:pPr>
      <w:r>
        <w:rPr>
          <w:rFonts w:ascii="SimSun" w:hAnsi="SimSun" w:eastAsia="SimSun" w:cs="SimSun"/>
          <w:sz w:val="21"/>
          <w:szCs w:val="21"/>
          <w:spacing w:val="2"/>
        </w:rPr>
        <w:t>组织应确定可追溯管理体系所需的过程及其顺序和相互作用，确定并配备过程运行所需的准则和</w:t>
      </w:r>
      <w:r>
        <w:rPr>
          <w:rFonts w:ascii="SimSun" w:hAnsi="SimSun" w:eastAsia="SimSun" w:cs="SimSun"/>
          <w:sz w:val="21"/>
          <w:szCs w:val="21"/>
        </w:rPr>
        <w:t>方法，并保持和保留必要的成文信息，以支持过程的运行和证实过程</w:t>
      </w:r>
      <w:r>
        <w:rPr>
          <w:rFonts w:ascii="SimSun" w:hAnsi="SimSun" w:eastAsia="SimSun" w:cs="SimSun"/>
          <w:sz w:val="21"/>
          <w:szCs w:val="21"/>
          <w:spacing w:val="-1"/>
        </w:rPr>
        <w:t>的实施。</w:t>
      </w:r>
    </w:p>
    <w:p>
      <w:pPr>
        <w:spacing w:before="155" w:line="234" w:lineRule="auto"/>
        <w:outlineLvl w:val="1"/>
        <w:rPr>
          <w:rFonts w:ascii="SimHei" w:hAnsi="SimHei" w:eastAsia="SimHei" w:cs="SimHei"/>
          <w:sz w:val="21"/>
          <w:szCs w:val="21"/>
        </w:rPr>
      </w:pPr>
      <w:bookmarkStart w:name="bookmark10" w:id="11"/>
      <w:bookmarkEnd w:id="11"/>
      <w:r>
        <w:rPr>
          <w:rFonts w:ascii="Times New Roman" w:hAnsi="Times New Roman" w:eastAsia="Times New Roman" w:cs="Times New Roman"/>
          <w:sz w:val="21"/>
          <w:szCs w:val="21"/>
          <w:spacing w:val="-1"/>
        </w:rPr>
        <w:t>4.5 </w:t>
      </w:r>
      <w:r>
        <w:rPr>
          <w:rFonts w:ascii="SimHei" w:hAnsi="SimHei" w:eastAsia="SimHei" w:cs="SimHei"/>
          <w:sz w:val="21"/>
          <w:szCs w:val="21"/>
          <w:spacing w:val="-1"/>
        </w:rPr>
        <w:t>追溯体系建设原则</w:t>
      </w:r>
    </w:p>
    <w:p>
      <w:pPr>
        <w:ind w:left="8" w:right="8" w:firstLine="419"/>
        <w:spacing w:before="163" w:line="360" w:lineRule="auto"/>
        <w:rPr>
          <w:rFonts w:ascii="SimSun" w:hAnsi="SimSun" w:eastAsia="SimSun" w:cs="SimSun"/>
          <w:sz w:val="21"/>
          <w:szCs w:val="21"/>
        </w:rPr>
      </w:pPr>
      <w:r>
        <w:rPr>
          <w:rFonts w:ascii="SimSun" w:hAnsi="SimSun" w:eastAsia="SimSun" w:cs="SimSun"/>
          <w:sz w:val="21"/>
          <w:szCs w:val="21"/>
          <w:spacing w:val="2"/>
        </w:rPr>
        <w:t>组织在建立、实施、保持和持续改进可追溯管理体系时，应遵循以下原则，使可追溯管理成为组</w:t>
      </w:r>
      <w:r>
        <w:rPr>
          <w:rFonts w:ascii="SimSun" w:hAnsi="SimSun" w:eastAsia="SimSun" w:cs="SimSun"/>
          <w:sz w:val="21"/>
          <w:szCs w:val="21"/>
          <w:spacing w:val="-3"/>
        </w:rPr>
        <w:t>织管理活动的有机组成部分：</w:t>
      </w:r>
    </w:p>
    <w:p>
      <w:pPr>
        <w:ind w:left="414"/>
        <w:spacing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合规性：可追溯管理体系建设应符合国家相关法规和标准的要求；</w:t>
      </w:r>
    </w:p>
    <w:p>
      <w:pPr>
        <w:ind w:left="414"/>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适宜性：应充分考虑产品特点和追溯特性，合理确</w:t>
      </w:r>
      <w:r>
        <w:rPr>
          <w:rFonts w:ascii="SimSun" w:hAnsi="SimSun" w:eastAsia="SimSun" w:cs="SimSun"/>
          <w:sz w:val="21"/>
          <w:szCs w:val="21"/>
          <w:spacing w:val="-1"/>
        </w:rPr>
        <w:t>定追溯单元，平衡追溯成本与追溯精度；</w:t>
      </w:r>
    </w:p>
    <w:p>
      <w:pPr>
        <w:ind w:left="423" w:right="66" w:hanging="9"/>
        <w:spacing w:before="158" w:line="36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全链覆盖：应覆盖初级生产、生产加工、包装、仓储、运输、配送、销售、消费（使</w:t>
      </w:r>
      <w:r>
        <w:rPr>
          <w:rFonts w:ascii="SimSun" w:hAnsi="SimSun" w:eastAsia="SimSun" w:cs="SimSun"/>
          <w:sz w:val="21"/>
          <w:szCs w:val="21"/>
          <w:spacing w:val="-1"/>
        </w:rPr>
        <w:t>用）等</w:t>
      </w:r>
      <w:r>
        <w:rPr>
          <w:rFonts w:ascii="SimSun" w:hAnsi="SimSun" w:eastAsia="SimSun" w:cs="SimSun"/>
          <w:sz w:val="21"/>
          <w:szCs w:val="21"/>
          <w:spacing w:val="-3"/>
        </w:rPr>
        <w:t>供应链相关环节的追溯信息；</w:t>
      </w:r>
    </w:p>
    <w:p>
      <w:pPr>
        <w:ind w:left="423" w:right="65" w:hanging="9"/>
        <w:spacing w:before="1" w:line="358"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真实完整：应确保追溯信息的全面性、真实性和合规性，并具备符合需求的追溯精确度</w:t>
      </w:r>
      <w:r>
        <w:rPr>
          <w:rFonts w:ascii="SimSun" w:hAnsi="SimSun" w:eastAsia="SimSun" w:cs="SimSun"/>
          <w:sz w:val="21"/>
          <w:szCs w:val="21"/>
          <w:spacing w:val="-1"/>
        </w:rPr>
        <w:t>，可</w:t>
      </w:r>
      <w:r>
        <w:rPr>
          <w:rFonts w:ascii="SimSun" w:hAnsi="SimSun" w:eastAsia="SimSun" w:cs="SimSun"/>
          <w:sz w:val="21"/>
          <w:szCs w:val="21"/>
          <w:spacing w:val="-1"/>
        </w:rPr>
        <w:t>采用必要的防伪技术保障产品真实性；</w:t>
      </w:r>
    </w:p>
    <w:p>
      <w:pPr>
        <w:ind w:left="424" w:right="56" w:hanging="10"/>
        <w:spacing w:before="2" w:line="35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互联互通：应制定相关标准规范，实现追溯数据在体系内的数据互联互通，支持跨部门跨区</w:t>
      </w:r>
      <w:r>
        <w:rPr>
          <w:rFonts w:ascii="SimSun" w:hAnsi="SimSun" w:eastAsia="SimSun" w:cs="SimSun"/>
          <w:sz w:val="21"/>
          <w:szCs w:val="21"/>
          <w:spacing w:val="-2"/>
        </w:rPr>
        <w:t>域业务协同、资源整合、信息共享；</w:t>
      </w:r>
    </w:p>
    <w:p>
      <w:pPr>
        <w:ind w:left="414"/>
        <w:spacing w:before="1"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责任明确：应明确各追溯参与方的职责与要求，并制定相应规章对其规范；</w:t>
      </w:r>
    </w:p>
    <w:p>
      <w:pPr>
        <w:ind w:left="423" w:right="139" w:hanging="9"/>
        <w:spacing w:before="157" w:line="35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过程管理：可追溯管理体系过程管理可采用策划、实施、评价、改进（</w:t>
      </w:r>
      <w:r>
        <w:rPr>
          <w:rFonts w:ascii="Times New Roman" w:hAnsi="Times New Roman" w:eastAsia="Times New Roman" w:cs="Times New Roman"/>
          <w:sz w:val="21"/>
          <w:szCs w:val="21"/>
        </w:rPr>
        <w:t>PDCA</w:t>
      </w:r>
      <w:r>
        <w:rPr>
          <w:rFonts w:ascii="SimSun" w:hAnsi="SimSun" w:eastAsia="SimSun" w:cs="SimSun"/>
          <w:sz w:val="21"/>
          <w:szCs w:val="21"/>
          <w:spacing w:val="-1"/>
        </w:rPr>
        <w:t>）的原则来实</w:t>
      </w:r>
      <w:r>
        <w:rPr>
          <w:rFonts w:ascii="SimSun" w:hAnsi="SimSun" w:eastAsia="SimSun" w:cs="SimSun"/>
          <w:sz w:val="21"/>
          <w:szCs w:val="21"/>
          <w:spacing w:val="-14"/>
        </w:rPr>
        <w:t>施；</w:t>
      </w:r>
    </w:p>
    <w:p>
      <w:pPr>
        <w:ind w:left="423" w:right="56" w:hanging="9"/>
        <w:spacing w:before="2" w:line="358"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要素完备：可追溯管理体系要素主要涵盖追溯对象、追溯法规标准、追溯信息、追溯相关硬</w:t>
      </w:r>
      <w:r>
        <w:rPr>
          <w:rFonts w:ascii="SimSun" w:hAnsi="SimSun" w:eastAsia="SimSun" w:cs="SimSun"/>
          <w:sz w:val="21"/>
          <w:szCs w:val="21"/>
          <w:spacing w:val="-1"/>
        </w:rPr>
        <w:t>件及设备、追溯相关软件、追溯参与方等。</w:t>
      </w:r>
    </w:p>
    <w:p>
      <w:pPr>
        <w:ind w:left="5"/>
        <w:spacing w:before="1" w:line="218" w:lineRule="auto"/>
        <w:rPr>
          <w:rFonts w:ascii="SimSun" w:hAnsi="SimSun" w:eastAsia="SimSun" w:cs="SimSun"/>
          <w:sz w:val="18"/>
          <w:szCs w:val="18"/>
        </w:rPr>
      </w:pPr>
      <w:r>
        <w:rPr>
          <w:rFonts w:ascii="SimHei" w:hAnsi="SimHei" w:eastAsia="SimHei" w:cs="SimHei"/>
          <w:sz w:val="18"/>
          <w:szCs w:val="18"/>
          <w:spacing w:val="-1"/>
        </w:rPr>
        <w:t>注：</w:t>
      </w:r>
      <w:r>
        <w:rPr>
          <w:rFonts w:ascii="SimSun" w:hAnsi="SimSun" w:eastAsia="SimSun" w:cs="SimSun"/>
          <w:sz w:val="18"/>
          <w:szCs w:val="18"/>
          <w:spacing w:val="-1"/>
        </w:rPr>
        <w:t>追溯体系建设原则的详细内涵和实施要点参见附录</w:t>
      </w:r>
      <w:r>
        <w:rPr>
          <w:rFonts w:ascii="SimSun" w:hAnsi="SimSun" w:eastAsia="SimSun" w:cs="SimSun"/>
          <w:sz w:val="18"/>
          <w:szCs w:val="18"/>
          <w:spacing w:val="-29"/>
        </w:rPr>
        <w:t xml:space="preserve"> </w:t>
      </w:r>
      <w:r>
        <w:rPr>
          <w:rFonts w:ascii="Times New Roman" w:hAnsi="Times New Roman" w:eastAsia="Times New Roman" w:cs="Times New Roman"/>
          <w:sz w:val="18"/>
          <w:szCs w:val="18"/>
          <w:spacing w:val="-1"/>
        </w:rPr>
        <w:t>A</w:t>
      </w:r>
      <w:r>
        <w:rPr>
          <w:rFonts w:ascii="SimSun" w:hAnsi="SimSun" w:eastAsia="SimSun" w:cs="SimSun"/>
          <w:sz w:val="18"/>
          <w:szCs w:val="18"/>
          <w:spacing w:val="-1"/>
        </w:rPr>
        <w:t>。</w:t>
      </w:r>
    </w:p>
    <w:p>
      <w:pPr>
        <w:pStyle w:val="BodyText"/>
        <w:spacing w:line="282" w:lineRule="auto"/>
        <w:rPr/>
      </w:pPr>
      <w:r/>
    </w:p>
    <w:p>
      <w:pPr>
        <w:ind w:left="6"/>
        <w:spacing w:before="69" w:line="234" w:lineRule="auto"/>
        <w:outlineLvl w:val="0"/>
        <w:rPr>
          <w:rFonts w:ascii="SimHei" w:hAnsi="SimHei" w:eastAsia="SimHei" w:cs="SimHei"/>
          <w:sz w:val="21"/>
          <w:szCs w:val="21"/>
        </w:rPr>
      </w:pPr>
      <w:bookmarkStart w:name="bookmark11" w:id="12"/>
      <w:bookmarkEnd w:id="12"/>
      <w:r>
        <w:rPr>
          <w:rFonts w:ascii="Times New Roman" w:hAnsi="Times New Roman" w:eastAsia="Times New Roman" w:cs="Times New Roman"/>
          <w:sz w:val="21"/>
          <w:szCs w:val="21"/>
          <w:spacing w:val="-2"/>
        </w:rPr>
        <w:t>5 </w:t>
      </w:r>
      <w:r>
        <w:rPr>
          <w:rFonts w:ascii="SimHei" w:hAnsi="SimHei" w:eastAsia="SimHei" w:cs="SimHei"/>
          <w:sz w:val="21"/>
          <w:szCs w:val="21"/>
          <w:spacing w:val="-2"/>
        </w:rPr>
        <w:t>领导作用</w:t>
      </w:r>
    </w:p>
    <w:p>
      <w:pPr>
        <w:ind w:left="6"/>
        <w:spacing w:before="250" w:line="234" w:lineRule="auto"/>
        <w:outlineLvl w:val="1"/>
        <w:rPr>
          <w:rFonts w:ascii="SimHei" w:hAnsi="SimHei" w:eastAsia="SimHei" w:cs="SimHei"/>
          <w:sz w:val="21"/>
          <w:szCs w:val="21"/>
        </w:rPr>
      </w:pPr>
      <w:bookmarkStart w:name="bookmark12" w:id="13"/>
      <w:bookmarkEnd w:id="13"/>
      <w:r>
        <w:rPr>
          <w:rFonts w:ascii="Times New Roman" w:hAnsi="Times New Roman" w:eastAsia="Times New Roman" w:cs="Times New Roman"/>
          <w:sz w:val="21"/>
          <w:szCs w:val="21"/>
          <w:spacing w:val="-1"/>
        </w:rPr>
        <w:t>5.1 </w:t>
      </w:r>
      <w:r>
        <w:rPr>
          <w:rFonts w:ascii="SimHei" w:hAnsi="SimHei" w:eastAsia="SimHei" w:cs="SimHei"/>
          <w:sz w:val="21"/>
          <w:szCs w:val="21"/>
          <w:spacing w:val="-1"/>
        </w:rPr>
        <w:t>领导作用和承诺</w:t>
      </w:r>
    </w:p>
    <w:p>
      <w:pPr>
        <w:ind w:left="427"/>
        <w:spacing w:before="163" w:line="221" w:lineRule="auto"/>
        <w:rPr>
          <w:rFonts w:ascii="SimSun" w:hAnsi="SimSun" w:eastAsia="SimSun" w:cs="SimSun"/>
          <w:sz w:val="21"/>
          <w:szCs w:val="21"/>
        </w:rPr>
      </w:pPr>
      <w:r>
        <w:rPr>
          <w:rFonts w:ascii="SimSun" w:hAnsi="SimSun" w:eastAsia="SimSun" w:cs="SimSun"/>
          <w:sz w:val="21"/>
          <w:szCs w:val="21"/>
        </w:rPr>
        <w:t>最高管理者应通过以下方面证实其对可追溯管理体系的领导作</w:t>
      </w:r>
      <w:r>
        <w:rPr>
          <w:rFonts w:ascii="SimSun" w:hAnsi="SimSun" w:eastAsia="SimSun" w:cs="SimSun"/>
          <w:sz w:val="21"/>
          <w:szCs w:val="21"/>
          <w:spacing w:val="-1"/>
        </w:rPr>
        <w:t>用和承诺：</w:t>
      </w:r>
    </w:p>
    <w:p>
      <w:pPr>
        <w:ind w:left="414"/>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对可追溯管理体系的有效性负责，确保追溯</w:t>
      </w:r>
      <w:r>
        <w:rPr>
          <w:rFonts w:ascii="SimSun" w:hAnsi="SimSun" w:eastAsia="SimSun" w:cs="SimSun"/>
          <w:sz w:val="21"/>
          <w:szCs w:val="21"/>
          <w:spacing w:val="-1"/>
        </w:rPr>
        <w:t>体系的建立和运行获得必要的授权和资源；</w:t>
      </w:r>
    </w:p>
    <w:p>
      <w:pPr>
        <w:ind w:left="414"/>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确保制定追溯方针和追溯目标，并与组织环境和战略方向相一致；</w:t>
      </w:r>
    </w:p>
    <w:p>
      <w:pPr>
        <w:ind w:left="414"/>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确保将可追溯管理要求融入组织的业务流程和管理决策；</w:t>
      </w:r>
    </w:p>
    <w:p>
      <w:pPr>
        <w:ind w:left="414"/>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确保提供可追溯管理体系所需的人力、财务、技术等资源；</w:t>
      </w:r>
    </w:p>
    <w:p>
      <w:pPr>
        <w:ind w:left="414"/>
        <w:spacing w:before="160"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沟通有效可追溯管理和符合可追溯管理体系要求的重要性；</w:t>
      </w:r>
    </w:p>
    <w:p>
      <w:pPr>
        <w:ind w:left="414"/>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确保可追溯管理体系实现其预期结果；</w:t>
      </w:r>
    </w:p>
    <w:p>
      <w:pPr>
        <w:ind w:left="414"/>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指导和支持人员为可追溯管理体系的有效性作出贡献；</w:t>
      </w:r>
    </w:p>
    <w:p>
      <w:pPr>
        <w:ind w:left="414"/>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促进持续改进；</w:t>
      </w:r>
    </w:p>
    <w:p>
      <w:pPr>
        <w:ind w:left="414"/>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支持其他相关管理者在其职责范围内证实其领导作用。</w:t>
      </w:r>
    </w:p>
    <w:p>
      <w:pPr>
        <w:pStyle w:val="BodyText"/>
        <w:spacing w:line="253" w:lineRule="auto"/>
        <w:rPr/>
      </w:pPr>
      <w:r/>
    </w:p>
    <w:p>
      <w:pPr>
        <w:ind w:left="6"/>
        <w:spacing w:before="69" w:line="233" w:lineRule="auto"/>
        <w:outlineLvl w:val="1"/>
        <w:rPr>
          <w:rFonts w:ascii="SimHei" w:hAnsi="SimHei" w:eastAsia="SimHei" w:cs="SimHei"/>
          <w:sz w:val="21"/>
          <w:szCs w:val="21"/>
        </w:rPr>
      </w:pPr>
      <w:bookmarkStart w:name="bookmark13" w:id="14"/>
      <w:bookmarkEnd w:id="14"/>
      <w:r>
        <w:rPr>
          <w:rFonts w:ascii="Times New Roman" w:hAnsi="Times New Roman" w:eastAsia="Times New Roman" w:cs="Times New Roman"/>
          <w:sz w:val="21"/>
          <w:szCs w:val="21"/>
          <w:spacing w:val="-1"/>
        </w:rPr>
        <w:t>5.2 </w:t>
      </w:r>
      <w:r>
        <w:rPr>
          <w:rFonts w:ascii="SimHei" w:hAnsi="SimHei" w:eastAsia="SimHei" w:cs="SimHei"/>
          <w:sz w:val="21"/>
          <w:szCs w:val="21"/>
          <w:spacing w:val="-1"/>
        </w:rPr>
        <w:t>追溯方针</w:t>
      </w:r>
    </w:p>
    <w:p>
      <w:pPr>
        <w:ind w:left="427"/>
        <w:spacing w:before="164" w:line="221" w:lineRule="auto"/>
        <w:rPr>
          <w:rFonts w:ascii="SimSun" w:hAnsi="SimSun" w:eastAsia="SimSun" w:cs="SimSun"/>
          <w:sz w:val="21"/>
          <w:szCs w:val="21"/>
        </w:rPr>
      </w:pPr>
      <w:r>
        <w:rPr>
          <w:rFonts w:ascii="SimSun" w:hAnsi="SimSun" w:eastAsia="SimSun" w:cs="SimSun"/>
          <w:sz w:val="21"/>
          <w:szCs w:val="21"/>
          <w:spacing w:val="-2"/>
        </w:rPr>
        <w:t>最高管理者应制定、实施和保持追溯方针。追溯方针应：</w:t>
      </w:r>
    </w:p>
    <w:p>
      <w:pPr>
        <w:ind w:left="414"/>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与组织的宗旨和环境相适应，并支持组织的战略方向；</w:t>
      </w:r>
    </w:p>
    <w:p>
      <w:pPr>
        <w:spacing w:line="221" w:lineRule="auto"/>
        <w:sectPr>
          <w:headerReference w:type="default" r:id="rId12"/>
          <w:footerReference w:type="default" r:id="rId13"/>
          <w:pgSz w:w="11907" w:h="16839"/>
          <w:pgMar w:top="1028" w:right="1134" w:bottom="880" w:left="1419" w:header="703" w:footer="678" w:gutter="0"/>
        </w:sectPr>
        <w:rPr>
          <w:rFonts w:ascii="SimSun" w:hAnsi="SimSun" w:eastAsia="SimSun" w:cs="SimSun"/>
          <w:sz w:val="21"/>
          <w:szCs w:val="21"/>
        </w:rPr>
      </w:pPr>
    </w:p>
    <w:p>
      <w:pPr>
        <w:ind w:left="409"/>
        <w:spacing w:before="133" w:line="220" w:lineRule="auto"/>
        <w:rPr>
          <w:rFonts w:ascii="SimSun" w:hAnsi="SimSun" w:eastAsia="SimSun" w:cs="SimSun"/>
          <w:sz w:val="21"/>
          <w:szCs w:val="21"/>
        </w:rPr>
      </w:pPr>
      <w:r>
        <w:rPr>
          <w:rFonts w:ascii="Times New Roman" w:hAnsi="Times New Roman" w:eastAsia="Times New Roman" w:cs="Times New Roman"/>
          <w:sz w:val="21"/>
          <w:szCs w:val="21"/>
          <w:spacing w:val="-1"/>
        </w:rPr>
        <w:t>——</w:t>
      </w:r>
      <w:r>
        <w:rPr>
          <w:rFonts w:ascii="Times New Roman" w:hAnsi="Times New Roman" w:eastAsia="Times New Roman" w:cs="Times New Roman"/>
          <w:sz w:val="21"/>
          <w:szCs w:val="21"/>
          <w:spacing w:val="18"/>
          <w:w w:val="101"/>
        </w:rPr>
        <w:t xml:space="preserve"> </w:t>
      </w:r>
      <w:r>
        <w:rPr>
          <w:rFonts w:ascii="SimSun" w:hAnsi="SimSun" w:eastAsia="SimSun" w:cs="SimSun"/>
          <w:sz w:val="21"/>
          <w:szCs w:val="21"/>
          <w:spacing w:val="-1"/>
        </w:rPr>
        <w:t>阐明组织可追溯管理的意图、原则和基本导向，为制定追溯目标提供</w:t>
      </w:r>
      <w:r>
        <w:rPr>
          <w:rFonts w:ascii="SimSun" w:hAnsi="SimSun" w:eastAsia="SimSun" w:cs="SimSun"/>
          <w:sz w:val="21"/>
          <w:szCs w:val="21"/>
          <w:spacing w:val="-2"/>
        </w:rPr>
        <w:t>框架；</w:t>
      </w:r>
    </w:p>
    <w:p>
      <w:pPr>
        <w:spacing w:before="160" w:line="221" w:lineRule="auto"/>
        <w:jc w:val="right"/>
        <w:rPr>
          <w:rFonts w:ascii="SimSun" w:hAnsi="SimSun" w:eastAsia="SimSun" w:cs="SimSun"/>
          <w:sz w:val="21"/>
          <w:szCs w:val="21"/>
        </w:rPr>
      </w:pPr>
      <w:r>
        <w:rPr>
          <w:rFonts w:ascii="Times New Roman" w:hAnsi="Times New Roman" w:eastAsia="Times New Roman" w:cs="Times New Roman"/>
          <w:sz w:val="21"/>
          <w:szCs w:val="21"/>
        </w:rPr>
        <w:t>——</w:t>
      </w:r>
      <w:r>
        <w:rPr>
          <w:rFonts w:ascii="Times New Roman" w:hAnsi="Times New Roman" w:eastAsia="Times New Roman" w:cs="Times New Roman"/>
          <w:sz w:val="21"/>
          <w:szCs w:val="21"/>
          <w:spacing w:val="38"/>
        </w:rPr>
        <w:t xml:space="preserve"> </w:t>
      </w:r>
      <w:r>
        <w:rPr>
          <w:rFonts w:ascii="SimSun" w:hAnsi="SimSun" w:eastAsia="SimSun" w:cs="SimSun"/>
          <w:sz w:val="21"/>
          <w:szCs w:val="21"/>
        </w:rPr>
        <w:t>包括满足适用的法律法规要求、确保追溯信息</w:t>
      </w:r>
      <w:r>
        <w:rPr>
          <w:rFonts w:ascii="SimSun" w:hAnsi="SimSun" w:eastAsia="SimSun" w:cs="SimSun"/>
          <w:sz w:val="21"/>
          <w:szCs w:val="21"/>
          <w:spacing w:val="-1"/>
        </w:rPr>
        <w:t>真实完整以及持续改进可追溯管理体系的承诺；</w:t>
      </w:r>
    </w:p>
    <w:p>
      <w:pPr>
        <w:ind w:left="409"/>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在组织内得到沟通、理解和应用；</w:t>
      </w:r>
    </w:p>
    <w:p>
      <w:pPr>
        <w:ind w:left="409"/>
        <w:spacing w:before="156"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适当时可向相关方提供。</w:t>
      </w:r>
    </w:p>
    <w:p>
      <w:pPr>
        <w:pStyle w:val="BodyText"/>
        <w:spacing w:line="251" w:lineRule="auto"/>
        <w:rPr/>
      </w:pPr>
      <w:r/>
    </w:p>
    <w:p>
      <w:pPr>
        <w:ind w:left="1"/>
        <w:spacing w:before="68" w:line="233" w:lineRule="auto"/>
        <w:outlineLvl w:val="1"/>
        <w:rPr>
          <w:rFonts w:ascii="SimHei" w:hAnsi="SimHei" w:eastAsia="SimHei" w:cs="SimHei"/>
          <w:sz w:val="21"/>
          <w:szCs w:val="21"/>
        </w:rPr>
      </w:pPr>
      <w:bookmarkStart w:name="bookmark14" w:id="15"/>
      <w:bookmarkEnd w:id="15"/>
      <w:r>
        <w:rPr>
          <w:rFonts w:ascii="Times New Roman" w:hAnsi="Times New Roman" w:eastAsia="Times New Roman" w:cs="Times New Roman"/>
          <w:sz w:val="21"/>
          <w:szCs w:val="21"/>
          <w:spacing w:val="-1"/>
        </w:rPr>
        <w:t>5.3 </w:t>
      </w:r>
      <w:r>
        <w:rPr>
          <w:rFonts w:ascii="SimHei" w:hAnsi="SimHei" w:eastAsia="SimHei" w:cs="SimHei"/>
          <w:sz w:val="21"/>
          <w:szCs w:val="21"/>
          <w:spacing w:val="-1"/>
        </w:rPr>
        <w:t>组织的角色、职责和权限</w:t>
      </w:r>
    </w:p>
    <w:p>
      <w:pPr>
        <w:ind w:left="421"/>
        <w:spacing w:before="167" w:line="220" w:lineRule="auto"/>
        <w:rPr>
          <w:rFonts w:ascii="SimSun" w:hAnsi="SimSun" w:eastAsia="SimSun" w:cs="SimSun"/>
          <w:sz w:val="21"/>
          <w:szCs w:val="21"/>
        </w:rPr>
      </w:pPr>
      <w:r>
        <w:rPr>
          <w:rFonts w:ascii="SimSun" w:hAnsi="SimSun" w:eastAsia="SimSun" w:cs="SimSun"/>
          <w:sz w:val="21"/>
          <w:szCs w:val="21"/>
          <w:spacing w:val="-1"/>
        </w:rPr>
        <w:t>最高管理者应确保相关角色的职责和权限在组织内得到分配、沟通和理解，并应：</w:t>
      </w:r>
    </w:p>
    <w:p>
      <w:pPr>
        <w:ind w:left="409"/>
        <w:spacing w:before="158"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指定追溯管理负责人，并明确规定其职责和权限；</w:t>
      </w:r>
    </w:p>
    <w:p>
      <w:pPr>
        <w:ind w:left="409"/>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确保各追溯参与方明确其在追溯体系中的职责与要求；</w:t>
      </w:r>
    </w:p>
    <w:p>
      <w:pPr>
        <w:ind w:left="409"/>
        <w:spacing w:before="160"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确保建立能够快速有效地向最高管理者报告重大追溯事件和产品召回的过程；</w:t>
      </w:r>
    </w:p>
    <w:p>
      <w:pPr>
        <w:ind w:left="409"/>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定期评审追溯体系，确保其有效和高效地保持并持续改进。</w:t>
      </w:r>
    </w:p>
    <w:p>
      <w:pPr>
        <w:ind w:left="419"/>
        <w:spacing w:before="156" w:line="221" w:lineRule="auto"/>
        <w:rPr>
          <w:rFonts w:ascii="SimSun" w:hAnsi="SimSun" w:eastAsia="SimSun" w:cs="SimSun"/>
          <w:sz w:val="21"/>
          <w:szCs w:val="21"/>
        </w:rPr>
      </w:pPr>
      <w:r>
        <w:rPr>
          <w:rFonts w:ascii="SimSun" w:hAnsi="SimSun" w:eastAsia="SimSun" w:cs="SimSun"/>
          <w:sz w:val="21"/>
          <w:szCs w:val="21"/>
          <w:spacing w:val="-1"/>
        </w:rPr>
        <w:t>追溯管理负责人应负有以下职责：</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组织制定和实施追溯计划，并监视其执行情况；</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组织建立、运行、维护和改进追溯系统；</w:t>
      </w:r>
    </w:p>
    <w:p>
      <w:pPr>
        <w:ind w:left="409"/>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组织开展追溯演练和追溯培训；</w:t>
      </w:r>
    </w:p>
    <w:p>
      <w:pPr>
        <w:ind w:left="409"/>
        <w:spacing w:before="157" w:line="219" w:lineRule="auto"/>
        <w:rPr>
          <w:rFonts w:ascii="SimSun" w:hAnsi="SimSun" w:eastAsia="SimSun" w:cs="SimSun"/>
          <w:sz w:val="21"/>
          <w:szCs w:val="21"/>
        </w:rPr>
      </w:pPr>
      <w:r>
        <w:rPr>
          <w:rFonts w:ascii="Times New Roman" w:hAnsi="Times New Roman" w:eastAsia="Times New Roman" w:cs="Times New Roman"/>
          <w:sz w:val="21"/>
          <w:szCs w:val="21"/>
          <w:spacing w:val="-2"/>
        </w:rPr>
        <w:t>——</w:t>
      </w:r>
      <w:r>
        <w:rPr>
          <w:rFonts w:ascii="Times New Roman" w:hAnsi="Times New Roman" w:eastAsia="Times New Roman" w:cs="Times New Roman"/>
          <w:sz w:val="21"/>
          <w:szCs w:val="21"/>
          <w:spacing w:val="43"/>
          <w:w w:val="101"/>
        </w:rPr>
        <w:t xml:space="preserve"> </w:t>
      </w:r>
      <w:r>
        <w:rPr>
          <w:rFonts w:ascii="SimSun" w:hAnsi="SimSun" w:eastAsia="SimSun" w:cs="SimSun"/>
          <w:sz w:val="21"/>
          <w:szCs w:val="21"/>
          <w:spacing w:val="-2"/>
        </w:rPr>
        <w:t>向最高管理者报告追溯体系的运行绩效以及改进的机会。</w:t>
      </w:r>
    </w:p>
    <w:p>
      <w:pPr>
        <w:ind w:left="421"/>
        <w:spacing w:before="158" w:line="221" w:lineRule="auto"/>
        <w:rPr>
          <w:rFonts w:ascii="SimSun" w:hAnsi="SimSun" w:eastAsia="SimSun" w:cs="SimSun"/>
          <w:sz w:val="21"/>
          <w:szCs w:val="21"/>
        </w:rPr>
      </w:pPr>
      <w:r>
        <w:rPr>
          <w:rFonts w:ascii="SimSun" w:hAnsi="SimSun" w:eastAsia="SimSun" w:cs="SimSun"/>
          <w:sz w:val="21"/>
          <w:szCs w:val="21"/>
          <w:spacing w:val="-1"/>
        </w:rPr>
        <w:t>组织应确保承担可追溯管理职责的人员知晓其职责，并具备履行相应职责的能力。</w:t>
      </w:r>
    </w:p>
    <w:p>
      <w:pPr>
        <w:pStyle w:val="BodyText"/>
        <w:spacing w:line="348" w:lineRule="auto"/>
        <w:rPr/>
      </w:pPr>
      <w:r/>
    </w:p>
    <w:p>
      <w:pPr>
        <w:spacing w:before="69" w:line="234" w:lineRule="auto"/>
        <w:outlineLvl w:val="0"/>
        <w:rPr>
          <w:rFonts w:ascii="SimHei" w:hAnsi="SimHei" w:eastAsia="SimHei" w:cs="SimHei"/>
          <w:sz w:val="21"/>
          <w:szCs w:val="21"/>
        </w:rPr>
      </w:pPr>
      <w:bookmarkStart w:name="bookmark15" w:id="16"/>
      <w:bookmarkEnd w:id="16"/>
      <w:r>
        <w:rPr>
          <w:rFonts w:ascii="Times New Roman" w:hAnsi="Times New Roman" w:eastAsia="Times New Roman" w:cs="Times New Roman"/>
          <w:sz w:val="21"/>
          <w:szCs w:val="21"/>
          <w:spacing w:val="-4"/>
        </w:rPr>
        <w:t>6</w:t>
      </w:r>
      <w:r>
        <w:rPr>
          <w:rFonts w:ascii="Times New Roman" w:hAnsi="Times New Roman" w:eastAsia="Times New Roman" w:cs="Times New Roman"/>
          <w:sz w:val="21"/>
          <w:szCs w:val="21"/>
          <w:spacing w:val="7"/>
        </w:rPr>
        <w:t xml:space="preserve"> </w:t>
      </w:r>
      <w:r>
        <w:rPr>
          <w:rFonts w:ascii="SimHei" w:hAnsi="SimHei" w:eastAsia="SimHei" w:cs="SimHei"/>
          <w:sz w:val="21"/>
          <w:szCs w:val="21"/>
          <w:spacing w:val="-4"/>
        </w:rPr>
        <w:t>策划</w:t>
      </w:r>
    </w:p>
    <w:p>
      <w:pPr>
        <w:spacing w:before="250" w:line="234" w:lineRule="auto"/>
        <w:outlineLvl w:val="1"/>
        <w:rPr>
          <w:rFonts w:ascii="SimHei" w:hAnsi="SimHei" w:eastAsia="SimHei" w:cs="SimHei"/>
          <w:sz w:val="21"/>
          <w:szCs w:val="21"/>
        </w:rPr>
      </w:pPr>
      <w:bookmarkStart w:name="bookmark16" w:id="17"/>
      <w:bookmarkEnd w:id="17"/>
      <w:r>
        <w:rPr>
          <w:rFonts w:ascii="Times New Roman" w:hAnsi="Times New Roman" w:eastAsia="Times New Roman" w:cs="Times New Roman"/>
          <w:sz w:val="21"/>
          <w:szCs w:val="21"/>
          <w:spacing w:val="-1"/>
        </w:rPr>
        <w:t>6.1 </w:t>
      </w:r>
      <w:r>
        <w:rPr>
          <w:rFonts w:ascii="SimHei" w:hAnsi="SimHei" w:eastAsia="SimHei" w:cs="SimHei"/>
          <w:sz w:val="21"/>
          <w:szCs w:val="21"/>
          <w:spacing w:val="-1"/>
        </w:rPr>
        <w:t>应对风险和机遇的措施</w:t>
      </w:r>
    </w:p>
    <w:p>
      <w:pPr>
        <w:ind w:left="16" w:right="157" w:firstLine="405"/>
        <w:spacing w:before="166" w:line="350" w:lineRule="auto"/>
        <w:rPr>
          <w:rFonts w:ascii="SimSun" w:hAnsi="SimSun" w:eastAsia="SimSun" w:cs="SimSun"/>
          <w:sz w:val="21"/>
          <w:szCs w:val="21"/>
        </w:rPr>
      </w:pPr>
      <w:r>
        <w:rPr>
          <w:rFonts w:ascii="SimSun" w:hAnsi="SimSun" w:eastAsia="SimSun" w:cs="SimSun"/>
          <w:sz w:val="21"/>
          <w:szCs w:val="21"/>
        </w:rPr>
        <w:t>组织在策划可追溯管理体系时，应考虑到</w:t>
      </w:r>
      <w:r>
        <w:rPr>
          <w:rFonts w:ascii="SimSun" w:hAnsi="SimSun" w:eastAsia="SimSun" w:cs="SimSun"/>
          <w:sz w:val="21"/>
          <w:szCs w:val="21"/>
          <w:spacing w:val="-37"/>
        </w:rPr>
        <w:t xml:space="preserve"> </w:t>
      </w:r>
      <w:r>
        <w:rPr>
          <w:rFonts w:ascii="Times New Roman" w:hAnsi="Times New Roman" w:eastAsia="Times New Roman" w:cs="Times New Roman"/>
          <w:sz w:val="21"/>
          <w:szCs w:val="21"/>
        </w:rPr>
        <w:t>4.</w:t>
      </w:r>
      <w:r>
        <w:rPr>
          <w:rFonts w:ascii="Times New Roman" w:hAnsi="Times New Roman" w:eastAsia="Times New Roman" w:cs="Times New Roman"/>
          <w:sz w:val="21"/>
          <w:szCs w:val="21"/>
          <w:spacing w:val="-1"/>
        </w:rPr>
        <w:t>1 </w:t>
      </w:r>
      <w:r>
        <w:rPr>
          <w:rFonts w:ascii="SimSun" w:hAnsi="SimSun" w:eastAsia="SimSun" w:cs="SimSun"/>
          <w:sz w:val="21"/>
          <w:szCs w:val="21"/>
          <w:spacing w:val="-1"/>
        </w:rPr>
        <w:t>所提及的因素和</w:t>
      </w:r>
      <w:r>
        <w:rPr>
          <w:rFonts w:ascii="SimSun" w:hAnsi="SimSun" w:eastAsia="SimSun" w:cs="SimSun"/>
          <w:sz w:val="21"/>
          <w:szCs w:val="21"/>
          <w:spacing w:val="-37"/>
        </w:rPr>
        <w:t xml:space="preserve"> </w:t>
      </w:r>
      <w:r>
        <w:rPr>
          <w:rFonts w:ascii="Times New Roman" w:hAnsi="Times New Roman" w:eastAsia="Times New Roman" w:cs="Times New Roman"/>
          <w:sz w:val="21"/>
          <w:szCs w:val="21"/>
          <w:spacing w:val="-1"/>
        </w:rPr>
        <w:t>4.2 </w:t>
      </w:r>
      <w:r>
        <w:rPr>
          <w:rFonts w:ascii="SimSun" w:hAnsi="SimSun" w:eastAsia="SimSun" w:cs="SimSun"/>
          <w:sz w:val="21"/>
          <w:szCs w:val="21"/>
          <w:spacing w:val="-1"/>
        </w:rPr>
        <w:t>所提及的要求，并确定需要应对</w:t>
      </w:r>
      <w:r>
        <w:rPr>
          <w:rFonts w:ascii="SimSun" w:hAnsi="SimSun" w:eastAsia="SimSun" w:cs="SimSun"/>
          <w:sz w:val="21"/>
          <w:szCs w:val="21"/>
          <w:spacing w:val="-4"/>
        </w:rPr>
        <w:t>的风险和机遇，以：</w:t>
      </w:r>
    </w:p>
    <w:p>
      <w:pPr>
        <w:ind w:left="409"/>
        <w:spacing w:before="1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确保可追溯管理体系能够实现其预期结果；</w:t>
      </w:r>
    </w:p>
    <w:p>
      <w:pPr>
        <w:ind w:left="409"/>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增强有利影响（机会</w:t>
      </w:r>
      <w:r>
        <w:rPr>
          <w:rFonts w:ascii="SimSun" w:hAnsi="SimSun" w:eastAsia="SimSun" w:cs="SimSun"/>
          <w:sz w:val="21"/>
          <w:szCs w:val="21"/>
          <w:spacing w:val="-12"/>
        </w:rPr>
        <w:t>）；</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预防或减少不利影响（威胁</w:t>
      </w:r>
      <w:r>
        <w:rPr>
          <w:rFonts w:ascii="SimSun" w:hAnsi="SimSun" w:eastAsia="SimSun" w:cs="SimSun"/>
          <w:sz w:val="21"/>
          <w:szCs w:val="21"/>
          <w:spacing w:val="8"/>
        </w:rPr>
        <w:t>），</w:t>
      </w:r>
      <w:r>
        <w:rPr>
          <w:rFonts w:ascii="SimSun" w:hAnsi="SimSun" w:eastAsia="SimSun" w:cs="SimSun"/>
          <w:sz w:val="21"/>
          <w:szCs w:val="21"/>
        </w:rPr>
        <w:t>包括追溯信息失真、追溯链断裂、产</w:t>
      </w:r>
      <w:r>
        <w:rPr>
          <w:rFonts w:ascii="SimSun" w:hAnsi="SimSun" w:eastAsia="SimSun" w:cs="SimSun"/>
          <w:sz w:val="21"/>
          <w:szCs w:val="21"/>
          <w:spacing w:val="-1"/>
        </w:rPr>
        <w:t>品召回失效等风险；</w:t>
      </w:r>
    </w:p>
    <w:p>
      <w:pPr>
        <w:ind w:left="409"/>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实现持续改进。</w:t>
      </w:r>
    </w:p>
    <w:p>
      <w:pPr>
        <w:ind w:left="4" w:right="171" w:firstLine="417"/>
        <w:spacing w:before="158" w:line="360" w:lineRule="auto"/>
        <w:rPr>
          <w:rFonts w:ascii="SimSun" w:hAnsi="SimSun" w:eastAsia="SimSun" w:cs="SimSun"/>
          <w:sz w:val="21"/>
          <w:szCs w:val="21"/>
        </w:rPr>
      </w:pPr>
      <w:r>
        <w:rPr>
          <w:rFonts w:ascii="SimSun" w:hAnsi="SimSun" w:eastAsia="SimSun" w:cs="SimSun"/>
          <w:sz w:val="21"/>
          <w:szCs w:val="21"/>
          <w:spacing w:val="2"/>
        </w:rPr>
        <w:t>组织应策划应对这些风险和机遇的措施，并确定如何将这些措施融入可追溯管理体系过程、加以</w:t>
      </w:r>
      <w:bookmarkStart w:name="bookmark17" w:id="18"/>
      <w:bookmarkEnd w:id="18"/>
      <w:r>
        <w:rPr>
          <w:rFonts w:ascii="SimSun" w:hAnsi="SimSun" w:eastAsia="SimSun" w:cs="SimSun"/>
          <w:sz w:val="21"/>
          <w:szCs w:val="21"/>
          <w:spacing w:val="-2"/>
        </w:rPr>
        <w:t>实施和评价。</w:t>
      </w:r>
    </w:p>
    <w:p>
      <w:pPr>
        <w:spacing w:before="160" w:line="234" w:lineRule="auto"/>
        <w:outlineLvl w:val="1"/>
        <w:rPr>
          <w:rFonts w:ascii="SimHei" w:hAnsi="SimHei" w:eastAsia="SimHei" w:cs="SimHei"/>
          <w:sz w:val="21"/>
          <w:szCs w:val="21"/>
        </w:rPr>
      </w:pPr>
      <w:bookmarkStart w:name="bookmark46" w:id="19"/>
      <w:bookmarkEnd w:id="19"/>
      <w:r>
        <w:rPr>
          <w:rFonts w:ascii="Times New Roman" w:hAnsi="Times New Roman" w:eastAsia="Times New Roman" w:cs="Times New Roman"/>
          <w:sz w:val="21"/>
          <w:szCs w:val="21"/>
          <w:spacing w:val="-1"/>
        </w:rPr>
        <w:t>6.2 </w:t>
      </w:r>
      <w:r>
        <w:rPr>
          <w:rFonts w:ascii="SimHei" w:hAnsi="SimHei" w:eastAsia="SimHei" w:cs="SimHei"/>
          <w:sz w:val="21"/>
          <w:szCs w:val="21"/>
          <w:spacing w:val="-1"/>
        </w:rPr>
        <w:t>追溯目标及其实现的策划</w:t>
      </w:r>
    </w:p>
    <w:p>
      <w:pPr>
        <w:ind w:left="421"/>
        <w:spacing w:before="166" w:line="221" w:lineRule="auto"/>
        <w:rPr>
          <w:rFonts w:ascii="SimSun" w:hAnsi="SimSun" w:eastAsia="SimSun" w:cs="SimSun"/>
          <w:sz w:val="21"/>
          <w:szCs w:val="21"/>
        </w:rPr>
      </w:pPr>
      <w:r>
        <w:rPr>
          <w:rFonts w:ascii="SimSun" w:hAnsi="SimSun" w:eastAsia="SimSun" w:cs="SimSun"/>
          <w:sz w:val="21"/>
          <w:szCs w:val="21"/>
        </w:rPr>
        <w:t>组织应在相关职能、层次和可追溯管理体系所需的过程上建立</w:t>
      </w:r>
      <w:r>
        <w:rPr>
          <w:rFonts w:ascii="SimSun" w:hAnsi="SimSun" w:eastAsia="SimSun" w:cs="SimSun"/>
          <w:sz w:val="21"/>
          <w:szCs w:val="21"/>
          <w:spacing w:val="-1"/>
        </w:rPr>
        <w:t>追溯目标。</w:t>
      </w:r>
    </w:p>
    <w:p>
      <w:pPr>
        <w:ind w:left="419"/>
        <w:spacing w:before="156" w:line="221" w:lineRule="auto"/>
        <w:rPr>
          <w:rFonts w:ascii="SimSun" w:hAnsi="SimSun" w:eastAsia="SimSun" w:cs="SimSun"/>
          <w:sz w:val="21"/>
          <w:szCs w:val="21"/>
        </w:rPr>
      </w:pPr>
      <w:r>
        <w:rPr>
          <w:rFonts w:ascii="SimSun" w:hAnsi="SimSun" w:eastAsia="SimSun" w:cs="SimSun"/>
          <w:sz w:val="21"/>
          <w:szCs w:val="21"/>
          <w:spacing w:val="-1"/>
        </w:rPr>
        <w:t>追溯目标应：</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与追溯方针一致；</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可测量（可行时</w:t>
      </w:r>
      <w:r>
        <w:rPr>
          <w:rFonts w:ascii="SimSun" w:hAnsi="SimSun" w:eastAsia="SimSun" w:cs="SimSun"/>
          <w:sz w:val="21"/>
          <w:szCs w:val="21"/>
          <w:spacing w:val="1"/>
        </w:rPr>
        <w:t>）；</w:t>
      </w:r>
    </w:p>
    <w:p>
      <w:pPr>
        <w:ind w:left="409"/>
        <w:spacing w:before="159"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考虑适用的法律法规和顾客要求；</w:t>
      </w:r>
    </w:p>
    <w:p>
      <w:pPr>
        <w:ind w:left="409"/>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予以监视；</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予以沟通；</w:t>
      </w:r>
    </w:p>
    <w:p>
      <w:pPr>
        <w:spacing w:line="221" w:lineRule="auto"/>
        <w:sectPr>
          <w:headerReference w:type="default" r:id="rId14"/>
          <w:footerReference w:type="default" r:id="rId15"/>
          <w:pgSz w:w="11907" w:h="16839"/>
          <w:pgMar w:top="1028" w:right="970" w:bottom="880" w:left="1425" w:header="703" w:footer="680" w:gutter="0"/>
        </w:sectPr>
        <w:rPr>
          <w:rFonts w:ascii="SimSun" w:hAnsi="SimSun" w:eastAsia="SimSun" w:cs="SimSun"/>
          <w:sz w:val="21"/>
          <w:szCs w:val="21"/>
        </w:rPr>
      </w:pPr>
    </w:p>
    <w:p>
      <w:pPr>
        <w:ind w:left="410"/>
        <w:spacing w:before="134"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适当时予以更新。</w:t>
      </w:r>
    </w:p>
    <w:p>
      <w:pPr>
        <w:ind w:left="422"/>
        <w:spacing w:before="158" w:line="221" w:lineRule="auto"/>
        <w:rPr>
          <w:rFonts w:ascii="SimSun" w:hAnsi="SimSun" w:eastAsia="SimSun" w:cs="SimSun"/>
          <w:sz w:val="21"/>
          <w:szCs w:val="21"/>
        </w:rPr>
      </w:pPr>
      <w:r>
        <w:rPr>
          <w:rFonts w:ascii="SimSun" w:hAnsi="SimSun" w:eastAsia="SimSun" w:cs="SimSun"/>
          <w:sz w:val="21"/>
          <w:szCs w:val="21"/>
          <w:spacing w:val="-1"/>
        </w:rPr>
        <w:t>组织应保持追溯目标的成文信息。</w:t>
      </w:r>
    </w:p>
    <w:p>
      <w:pPr>
        <w:ind w:left="419"/>
        <w:spacing w:before="156" w:line="221" w:lineRule="auto"/>
        <w:rPr>
          <w:rFonts w:ascii="SimSun" w:hAnsi="SimSun" w:eastAsia="SimSun" w:cs="SimSun"/>
          <w:sz w:val="21"/>
          <w:szCs w:val="21"/>
        </w:rPr>
      </w:pPr>
      <w:r>
        <w:rPr>
          <w:rFonts w:ascii="SimSun" w:hAnsi="SimSun" w:eastAsia="SimSun" w:cs="SimSun"/>
          <w:sz w:val="21"/>
          <w:szCs w:val="21"/>
          <w:spacing w:val="-1"/>
        </w:rPr>
        <w:t>在策划如何实现追溯目标时，组织应确定：</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3"/>
        </w:rPr>
        <w:t>—— </w:t>
      </w:r>
      <w:r>
        <w:rPr>
          <w:rFonts w:ascii="SimSun" w:hAnsi="SimSun" w:eastAsia="SimSun" w:cs="SimSun"/>
          <w:sz w:val="21"/>
          <w:szCs w:val="21"/>
          <w:spacing w:val="-3"/>
        </w:rPr>
        <w:t>做什么；</w:t>
      </w:r>
    </w:p>
    <w:p>
      <w:pPr>
        <w:ind w:left="410"/>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w:t>
      </w:r>
      <w:r>
        <w:rPr>
          <w:rFonts w:ascii="Times New Roman" w:hAnsi="Times New Roman" w:eastAsia="Times New Roman" w:cs="Times New Roman"/>
          <w:sz w:val="21"/>
          <w:szCs w:val="21"/>
          <w:spacing w:val="21"/>
        </w:rPr>
        <w:t xml:space="preserve"> </w:t>
      </w:r>
      <w:r>
        <w:rPr>
          <w:rFonts w:ascii="SimSun" w:hAnsi="SimSun" w:eastAsia="SimSun" w:cs="SimSun"/>
          <w:sz w:val="21"/>
          <w:szCs w:val="21"/>
          <w:spacing w:val="-2"/>
        </w:rPr>
        <w:t>需要什么资源；</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4"/>
        </w:rPr>
        <w:t>——</w:t>
      </w:r>
      <w:r>
        <w:rPr>
          <w:rFonts w:ascii="Times New Roman" w:hAnsi="Times New Roman" w:eastAsia="Times New Roman" w:cs="Times New Roman"/>
          <w:sz w:val="21"/>
          <w:szCs w:val="21"/>
          <w:spacing w:val="31"/>
        </w:rPr>
        <w:t xml:space="preserve"> </w:t>
      </w:r>
      <w:r>
        <w:rPr>
          <w:rFonts w:ascii="SimSun" w:hAnsi="SimSun" w:eastAsia="SimSun" w:cs="SimSun"/>
          <w:sz w:val="21"/>
          <w:szCs w:val="21"/>
          <w:spacing w:val="-4"/>
        </w:rPr>
        <w:t>由谁负责；</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何时完成；</w:t>
      </w:r>
    </w:p>
    <w:p>
      <w:pPr>
        <w:ind w:left="410"/>
        <w:spacing w:before="157" w:line="219" w:lineRule="auto"/>
        <w:rPr>
          <w:rFonts w:ascii="SimSun" w:hAnsi="SimSun" w:eastAsia="SimSun" w:cs="SimSun"/>
          <w:sz w:val="21"/>
          <w:szCs w:val="21"/>
        </w:rPr>
      </w:pPr>
      <w:bookmarkStart w:name="bookmark18" w:id="20"/>
      <w:bookmarkEnd w:id="20"/>
      <w:r>
        <w:rPr>
          <w:rFonts w:ascii="Times New Roman" w:hAnsi="Times New Roman" w:eastAsia="Times New Roman" w:cs="Times New Roman"/>
          <w:sz w:val="21"/>
          <w:szCs w:val="21"/>
        </w:rPr>
        <w:t>—— </w:t>
      </w:r>
      <w:r>
        <w:rPr>
          <w:rFonts w:ascii="SimSun" w:hAnsi="SimSun" w:eastAsia="SimSun" w:cs="SimSun"/>
          <w:sz w:val="21"/>
          <w:szCs w:val="21"/>
        </w:rPr>
        <w:t>如何评价结果。</w:t>
      </w:r>
    </w:p>
    <w:p>
      <w:pPr>
        <w:pStyle w:val="BodyText"/>
        <w:spacing w:line="252" w:lineRule="auto"/>
        <w:rPr/>
      </w:pPr>
      <w:r/>
    </w:p>
    <w:p>
      <w:pPr>
        <w:ind w:left="1"/>
        <w:spacing w:before="68" w:line="233" w:lineRule="auto"/>
        <w:outlineLvl w:val="1"/>
        <w:rPr>
          <w:rFonts w:ascii="SimHei" w:hAnsi="SimHei" w:eastAsia="SimHei" w:cs="SimHei"/>
          <w:sz w:val="21"/>
          <w:szCs w:val="21"/>
        </w:rPr>
      </w:pPr>
      <w:bookmarkStart w:name="bookmark47" w:id="21"/>
      <w:bookmarkEnd w:id="21"/>
      <w:r>
        <w:rPr>
          <w:rFonts w:ascii="Times New Roman" w:hAnsi="Times New Roman" w:eastAsia="Times New Roman" w:cs="Times New Roman"/>
          <w:sz w:val="21"/>
          <w:szCs w:val="21"/>
          <w:spacing w:val="-1"/>
        </w:rPr>
        <w:t>6.3 </w:t>
      </w:r>
      <w:r>
        <w:rPr>
          <w:rFonts w:ascii="SimHei" w:hAnsi="SimHei" w:eastAsia="SimHei" w:cs="SimHei"/>
          <w:sz w:val="21"/>
          <w:szCs w:val="21"/>
          <w:spacing w:val="-1"/>
        </w:rPr>
        <w:t>追溯体系的策划、设计和开发</w:t>
      </w:r>
    </w:p>
    <w:p>
      <w:pPr>
        <w:ind w:left="5" w:right="179" w:firstLine="417"/>
        <w:spacing w:before="167" w:line="359" w:lineRule="auto"/>
        <w:rPr>
          <w:rFonts w:ascii="SimSun" w:hAnsi="SimSun" w:eastAsia="SimSun" w:cs="SimSun"/>
          <w:sz w:val="21"/>
          <w:szCs w:val="21"/>
        </w:rPr>
      </w:pPr>
      <w:r>
        <w:rPr>
          <w:rFonts w:ascii="SimSun" w:hAnsi="SimSun" w:eastAsia="SimSun" w:cs="SimSun"/>
          <w:sz w:val="21"/>
          <w:szCs w:val="21"/>
          <w:spacing w:val="2"/>
        </w:rPr>
        <w:t>组织应策划、设计和开发有效和高效的可追溯管理体系，以满足追溯目标并增强产品安全、质量</w:t>
      </w:r>
      <w:r>
        <w:rPr>
          <w:rFonts w:ascii="SimSun" w:hAnsi="SimSun" w:eastAsia="SimSun" w:cs="SimSun"/>
          <w:sz w:val="21"/>
          <w:szCs w:val="21"/>
          <w:spacing w:val="-3"/>
        </w:rPr>
        <w:t>管理和相关方信任。</w:t>
      </w:r>
    </w:p>
    <w:p>
      <w:pPr>
        <w:ind w:left="422"/>
        <w:spacing w:before="1" w:line="220" w:lineRule="auto"/>
        <w:rPr>
          <w:rFonts w:ascii="SimSun" w:hAnsi="SimSun" w:eastAsia="SimSun" w:cs="SimSun"/>
          <w:sz w:val="21"/>
          <w:szCs w:val="21"/>
        </w:rPr>
      </w:pPr>
      <w:r>
        <w:rPr>
          <w:rFonts w:ascii="SimSun" w:hAnsi="SimSun" w:eastAsia="SimSun" w:cs="SimSun"/>
          <w:sz w:val="21"/>
          <w:szCs w:val="21"/>
        </w:rPr>
        <w:t>组织应制定追溯计划，追溯计划应包括追溯参与方资</w:t>
      </w:r>
      <w:r>
        <w:rPr>
          <w:rFonts w:ascii="SimSun" w:hAnsi="SimSun" w:eastAsia="SimSun" w:cs="SimSun"/>
          <w:sz w:val="21"/>
          <w:szCs w:val="21"/>
          <w:spacing w:val="-1"/>
        </w:rPr>
        <w:t>源管理要求、实施要求、运维保障等内容。</w:t>
      </w:r>
    </w:p>
    <w:p>
      <w:pPr>
        <w:ind w:right="179" w:firstLine="419"/>
        <w:spacing w:before="156" w:line="360" w:lineRule="auto"/>
        <w:rPr>
          <w:rFonts w:ascii="SimSun" w:hAnsi="SimSun" w:eastAsia="SimSun" w:cs="SimSun"/>
          <w:sz w:val="21"/>
          <w:szCs w:val="21"/>
        </w:rPr>
      </w:pPr>
      <w:r>
        <w:rPr>
          <w:rFonts w:ascii="SimSun" w:hAnsi="SimSun" w:eastAsia="SimSun" w:cs="SimSun"/>
          <w:sz w:val="21"/>
          <w:szCs w:val="21"/>
          <w:spacing w:val="2"/>
        </w:rPr>
        <w:t>在设计和开发追溯体系时，组织应确定追溯单元、追溯精度和追溯环节，并考虑追溯成本、产品</w:t>
      </w:r>
      <w:r>
        <w:rPr>
          <w:rFonts w:ascii="SimSun" w:hAnsi="SimSun" w:eastAsia="SimSun" w:cs="SimSun"/>
          <w:sz w:val="21"/>
          <w:szCs w:val="21"/>
          <w:spacing w:val="-1"/>
        </w:rPr>
        <w:t>特性、法规标准要求和相关方需求之间的平衡。</w:t>
      </w:r>
    </w:p>
    <w:p>
      <w:pPr>
        <w:ind w:left="21" w:right="179" w:firstLine="401"/>
        <w:spacing w:before="2" w:line="360" w:lineRule="auto"/>
        <w:rPr>
          <w:rFonts w:ascii="SimSun" w:hAnsi="SimSun" w:eastAsia="SimSun" w:cs="SimSun"/>
          <w:sz w:val="21"/>
          <w:szCs w:val="21"/>
        </w:rPr>
      </w:pPr>
      <w:r>
        <w:rPr>
          <w:rFonts w:ascii="SimSun" w:hAnsi="SimSun" w:eastAsia="SimSun" w:cs="SimSun"/>
          <w:sz w:val="21"/>
          <w:szCs w:val="21"/>
          <w:spacing w:val="2"/>
        </w:rPr>
        <w:t>组织应对追溯系统的设计目标、系统构成、功能需求等内容进行设计，并制定相关标准，确保不</w:t>
      </w:r>
      <w:r>
        <w:rPr>
          <w:rFonts w:ascii="SimSun" w:hAnsi="SimSun" w:eastAsia="SimSun" w:cs="SimSun"/>
          <w:sz w:val="21"/>
          <w:szCs w:val="21"/>
          <w:spacing w:val="-2"/>
        </w:rPr>
        <w:t>同系统与平台之间的追溯信息有效衔接和交换。</w:t>
      </w:r>
    </w:p>
    <w:p>
      <w:pPr>
        <w:spacing w:before="258" w:line="234" w:lineRule="auto"/>
        <w:outlineLvl w:val="0"/>
        <w:rPr>
          <w:rFonts w:ascii="SimHei" w:hAnsi="SimHei" w:eastAsia="SimHei" w:cs="SimHei"/>
          <w:sz w:val="21"/>
          <w:szCs w:val="21"/>
        </w:rPr>
      </w:pPr>
      <w:bookmarkStart w:name="bookmark19" w:id="22"/>
      <w:bookmarkEnd w:id="22"/>
      <w:r>
        <w:rPr>
          <w:rFonts w:ascii="Times New Roman" w:hAnsi="Times New Roman" w:eastAsia="Times New Roman" w:cs="Times New Roman"/>
          <w:sz w:val="21"/>
          <w:szCs w:val="21"/>
          <w:spacing w:val="-5"/>
        </w:rPr>
        <w:t>7</w:t>
      </w:r>
      <w:r>
        <w:rPr>
          <w:rFonts w:ascii="Times New Roman" w:hAnsi="Times New Roman" w:eastAsia="Times New Roman" w:cs="Times New Roman"/>
          <w:sz w:val="21"/>
          <w:szCs w:val="21"/>
          <w:spacing w:val="15"/>
          <w:w w:val="101"/>
        </w:rPr>
        <w:t xml:space="preserve"> </w:t>
      </w:r>
      <w:r>
        <w:rPr>
          <w:rFonts w:ascii="SimHei" w:hAnsi="SimHei" w:eastAsia="SimHei" w:cs="SimHei"/>
          <w:sz w:val="21"/>
          <w:szCs w:val="21"/>
          <w:spacing w:val="-5"/>
        </w:rPr>
        <w:t>支持</w:t>
      </w:r>
    </w:p>
    <w:p>
      <w:pPr>
        <w:spacing w:before="249" w:line="233" w:lineRule="auto"/>
        <w:outlineLvl w:val="1"/>
        <w:rPr>
          <w:rFonts w:ascii="SimHei" w:hAnsi="SimHei" w:eastAsia="SimHei" w:cs="SimHei"/>
          <w:sz w:val="21"/>
          <w:szCs w:val="21"/>
        </w:rPr>
      </w:pPr>
      <w:bookmarkStart w:name="bookmark20" w:id="23"/>
      <w:bookmarkEnd w:id="23"/>
      <w:r>
        <w:rPr>
          <w:rFonts w:ascii="Times New Roman" w:hAnsi="Times New Roman" w:eastAsia="Times New Roman" w:cs="Times New Roman"/>
          <w:sz w:val="21"/>
          <w:szCs w:val="21"/>
          <w:spacing w:val="-3"/>
        </w:rPr>
        <w:t>7.1</w:t>
      </w:r>
      <w:r>
        <w:rPr>
          <w:rFonts w:ascii="Times New Roman" w:hAnsi="Times New Roman" w:eastAsia="Times New Roman" w:cs="Times New Roman"/>
          <w:sz w:val="21"/>
          <w:szCs w:val="21"/>
          <w:spacing w:val="15"/>
          <w:w w:val="101"/>
        </w:rPr>
        <w:t xml:space="preserve"> </w:t>
      </w:r>
      <w:r>
        <w:rPr>
          <w:rFonts w:ascii="SimHei" w:hAnsi="SimHei" w:eastAsia="SimHei" w:cs="SimHei"/>
          <w:sz w:val="21"/>
          <w:szCs w:val="21"/>
          <w:spacing w:val="-3"/>
        </w:rPr>
        <w:t>资源</w:t>
      </w:r>
    </w:p>
    <w:p>
      <w:pPr>
        <w:ind w:left="422"/>
        <w:spacing w:before="167" w:line="220" w:lineRule="auto"/>
        <w:rPr>
          <w:rFonts w:ascii="SimSun" w:hAnsi="SimSun" w:eastAsia="SimSun" w:cs="SimSun"/>
          <w:sz w:val="21"/>
          <w:szCs w:val="21"/>
        </w:rPr>
      </w:pPr>
      <w:r>
        <w:rPr>
          <w:rFonts w:ascii="SimSun" w:hAnsi="SimSun" w:eastAsia="SimSun" w:cs="SimSun"/>
          <w:sz w:val="21"/>
          <w:szCs w:val="21"/>
        </w:rPr>
        <w:t>组织应确定并提供建立、实施、保持和持续改进可追溯管理体系所</w:t>
      </w:r>
      <w:r>
        <w:rPr>
          <w:rFonts w:ascii="SimSun" w:hAnsi="SimSun" w:eastAsia="SimSun" w:cs="SimSun"/>
          <w:sz w:val="21"/>
          <w:szCs w:val="21"/>
          <w:spacing w:val="-1"/>
        </w:rPr>
        <w:t>需的资源。</w:t>
      </w:r>
    </w:p>
    <w:p>
      <w:pPr>
        <w:ind w:left="2" w:firstLine="426"/>
        <w:spacing w:before="157" w:line="359" w:lineRule="auto"/>
        <w:rPr>
          <w:rFonts w:ascii="SimSun" w:hAnsi="SimSun" w:eastAsia="SimSun" w:cs="SimSun"/>
          <w:sz w:val="21"/>
          <w:szCs w:val="21"/>
        </w:rPr>
      </w:pPr>
      <w:r>
        <w:rPr>
          <w:rFonts w:ascii="SimSun" w:hAnsi="SimSun" w:eastAsia="SimSun" w:cs="SimSun"/>
          <w:sz w:val="21"/>
          <w:szCs w:val="21"/>
          <w:spacing w:val="1"/>
        </w:rPr>
        <w:t>资源可包括人力资源、基础设施（如办公场所、设备、标识打印设备）、技术资源（如追溯系统、</w:t>
      </w:r>
      <w:r>
        <w:rPr>
          <w:rFonts w:ascii="SimSun" w:hAnsi="SimSun" w:eastAsia="SimSun" w:cs="SimSun"/>
          <w:sz w:val="21"/>
          <w:szCs w:val="21"/>
        </w:rPr>
        <w:t>软硬件设备、通信网络、数据库）、财务资源和信息资源（如法律</w:t>
      </w:r>
      <w:r>
        <w:rPr>
          <w:rFonts w:ascii="SimSun" w:hAnsi="SimSun" w:eastAsia="SimSun" w:cs="SimSun"/>
          <w:sz w:val="21"/>
          <w:szCs w:val="21"/>
          <w:spacing w:val="-1"/>
        </w:rPr>
        <w:t>法规、标准、最佳实践资料）等。</w:t>
      </w:r>
    </w:p>
    <w:p>
      <w:pPr>
        <w:ind w:left="2" w:right="179" w:firstLine="420"/>
        <w:spacing w:line="361" w:lineRule="auto"/>
        <w:rPr>
          <w:rFonts w:ascii="SimSun" w:hAnsi="SimSun" w:eastAsia="SimSun" w:cs="SimSun"/>
          <w:sz w:val="21"/>
          <w:szCs w:val="21"/>
        </w:rPr>
      </w:pPr>
      <w:r>
        <w:rPr>
          <w:rFonts w:ascii="SimSun" w:hAnsi="SimSun" w:eastAsia="SimSun" w:cs="SimSun"/>
          <w:sz w:val="21"/>
          <w:szCs w:val="21"/>
          <w:spacing w:val="2"/>
        </w:rPr>
        <w:t>组织应确保追溯相关硬件及设备和追溯相关软件满足追溯体系运行的需要，并得到适当的维护和</w:t>
      </w:r>
      <w:bookmarkStart w:name="bookmark21" w:id="24"/>
      <w:bookmarkEnd w:id="24"/>
      <w:r>
        <w:rPr>
          <w:rFonts w:ascii="SimSun" w:hAnsi="SimSun" w:eastAsia="SimSun" w:cs="SimSun"/>
          <w:sz w:val="21"/>
          <w:szCs w:val="21"/>
          <w:spacing w:val="-9"/>
        </w:rPr>
        <w:t>更新。</w:t>
      </w:r>
    </w:p>
    <w:p>
      <w:pPr>
        <w:spacing w:before="161" w:line="234" w:lineRule="auto"/>
        <w:outlineLvl w:val="1"/>
        <w:rPr>
          <w:rFonts w:ascii="SimHei" w:hAnsi="SimHei" w:eastAsia="SimHei" w:cs="SimHei"/>
          <w:sz w:val="21"/>
          <w:szCs w:val="21"/>
        </w:rPr>
      </w:pPr>
      <w:bookmarkStart w:name="bookmark48" w:id="25"/>
      <w:bookmarkEnd w:id="25"/>
      <w:r>
        <w:rPr>
          <w:rFonts w:ascii="Times New Roman" w:hAnsi="Times New Roman" w:eastAsia="Times New Roman" w:cs="Times New Roman"/>
          <w:sz w:val="21"/>
          <w:szCs w:val="21"/>
          <w:spacing w:val="-3"/>
        </w:rPr>
        <w:t>7.2</w:t>
      </w:r>
      <w:r>
        <w:rPr>
          <w:rFonts w:ascii="Times New Roman" w:hAnsi="Times New Roman" w:eastAsia="Times New Roman" w:cs="Times New Roman"/>
          <w:sz w:val="21"/>
          <w:szCs w:val="21"/>
          <w:spacing w:val="15"/>
        </w:rPr>
        <w:t xml:space="preserve"> </w:t>
      </w:r>
      <w:r>
        <w:rPr>
          <w:rFonts w:ascii="SimHei" w:hAnsi="SimHei" w:eastAsia="SimHei" w:cs="SimHei"/>
          <w:sz w:val="21"/>
          <w:szCs w:val="21"/>
          <w:spacing w:val="-3"/>
        </w:rPr>
        <w:t>能力</w:t>
      </w:r>
    </w:p>
    <w:p>
      <w:pPr>
        <w:ind w:left="422"/>
        <w:spacing w:before="163" w:line="223" w:lineRule="auto"/>
        <w:rPr>
          <w:rFonts w:ascii="SimSun" w:hAnsi="SimSun" w:eastAsia="SimSun" w:cs="SimSun"/>
          <w:sz w:val="21"/>
          <w:szCs w:val="21"/>
        </w:rPr>
      </w:pPr>
      <w:r>
        <w:rPr>
          <w:rFonts w:ascii="SimSun" w:hAnsi="SimSun" w:eastAsia="SimSun" w:cs="SimSun"/>
          <w:sz w:val="21"/>
          <w:szCs w:val="21"/>
          <w:spacing w:val="-2"/>
        </w:rPr>
        <w:t>组织应：</w:t>
      </w:r>
    </w:p>
    <w:p>
      <w:pPr>
        <w:ind w:left="410"/>
        <w:spacing w:before="154"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确定在其控制下从事影响可追溯管理体系绩效的人员所需具备的能力；</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基于适当的教育、培训或经历，确保这些人员具备所需能力；</w:t>
      </w:r>
    </w:p>
    <w:p>
      <w:pPr>
        <w:ind w:left="410"/>
        <w:spacing w:before="157"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适当时，采取措施获得所需能力，并评价所采取措施的有效性；</w:t>
      </w:r>
    </w:p>
    <w:p>
      <w:pPr>
        <w:ind w:left="410"/>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保留适当的成文信息，作为能力的证据。</w:t>
      </w:r>
    </w:p>
    <w:p>
      <w:pPr>
        <w:ind w:left="1" w:right="179" w:firstLine="421"/>
        <w:spacing w:before="156" w:line="361" w:lineRule="auto"/>
        <w:rPr>
          <w:rFonts w:ascii="SimSun" w:hAnsi="SimSun" w:eastAsia="SimSun" w:cs="SimSun"/>
          <w:sz w:val="21"/>
          <w:szCs w:val="21"/>
        </w:rPr>
      </w:pPr>
      <w:r>
        <w:rPr>
          <w:rFonts w:ascii="SimSun" w:hAnsi="SimSun" w:eastAsia="SimSun" w:cs="SimSun"/>
          <w:sz w:val="21"/>
          <w:szCs w:val="21"/>
          <w:spacing w:val="2"/>
        </w:rPr>
        <w:t>组织应开展追溯培训，使相关人员获得充分的培训，从而具有正确实施追溯体系的能力，包括追</w:t>
      </w:r>
      <w:r>
        <w:rPr>
          <w:rFonts w:ascii="SimSun" w:hAnsi="SimSun" w:eastAsia="SimSun" w:cs="SimSun"/>
          <w:sz w:val="21"/>
          <w:szCs w:val="21"/>
          <w:spacing w:val="-1"/>
        </w:rPr>
        <w:t>溯信息记录、追溯系统操作、追溯演练和产品召回等方面的培训。</w:t>
      </w:r>
    </w:p>
    <w:p>
      <w:pPr>
        <w:spacing w:before="162" w:line="234" w:lineRule="auto"/>
        <w:outlineLvl w:val="1"/>
        <w:rPr>
          <w:rFonts w:ascii="SimHei" w:hAnsi="SimHei" w:eastAsia="SimHei" w:cs="SimHei"/>
          <w:sz w:val="21"/>
          <w:szCs w:val="21"/>
        </w:rPr>
      </w:pPr>
      <w:bookmarkStart w:name="bookmark22" w:id="26"/>
      <w:bookmarkEnd w:id="26"/>
      <w:r>
        <w:rPr>
          <w:rFonts w:ascii="Times New Roman" w:hAnsi="Times New Roman" w:eastAsia="Times New Roman" w:cs="Times New Roman"/>
          <w:sz w:val="21"/>
          <w:szCs w:val="21"/>
          <w:spacing w:val="-3"/>
        </w:rPr>
        <w:t>7.3</w:t>
      </w:r>
      <w:r>
        <w:rPr>
          <w:rFonts w:ascii="Times New Roman" w:hAnsi="Times New Roman" w:eastAsia="Times New Roman" w:cs="Times New Roman"/>
          <w:sz w:val="21"/>
          <w:szCs w:val="21"/>
          <w:spacing w:val="12"/>
        </w:rPr>
        <w:t xml:space="preserve"> </w:t>
      </w:r>
      <w:r>
        <w:rPr>
          <w:rFonts w:ascii="SimHei" w:hAnsi="SimHei" w:eastAsia="SimHei" w:cs="SimHei"/>
          <w:sz w:val="21"/>
          <w:szCs w:val="21"/>
          <w:spacing w:val="-3"/>
        </w:rPr>
        <w:t>意识</w:t>
      </w:r>
    </w:p>
    <w:p>
      <w:pPr>
        <w:ind w:left="422"/>
        <w:spacing w:before="163" w:line="221" w:lineRule="auto"/>
        <w:rPr>
          <w:rFonts w:ascii="SimSun" w:hAnsi="SimSun" w:eastAsia="SimSun" w:cs="SimSun"/>
          <w:sz w:val="21"/>
          <w:szCs w:val="21"/>
        </w:rPr>
      </w:pPr>
      <w:r>
        <w:rPr>
          <w:rFonts w:ascii="SimSun" w:hAnsi="SimSun" w:eastAsia="SimSun" w:cs="SimSun"/>
          <w:sz w:val="21"/>
          <w:szCs w:val="21"/>
          <w:spacing w:val="-2"/>
        </w:rPr>
        <w:t>组织应确保在其控制下工作的人员知晓：</w:t>
      </w:r>
    </w:p>
    <w:p>
      <w:pPr>
        <w:spacing w:line="221" w:lineRule="auto"/>
        <w:sectPr>
          <w:headerReference w:type="default" r:id="rId16"/>
          <w:footerReference w:type="default" r:id="rId17"/>
          <w:pgSz w:w="11907" w:h="16839"/>
          <w:pgMar w:top="1028" w:right="962" w:bottom="880" w:left="1424" w:header="703" w:footer="680" w:gutter="0"/>
        </w:sectPr>
        <w:rPr>
          <w:rFonts w:ascii="SimSun" w:hAnsi="SimSun" w:eastAsia="SimSun" w:cs="SimSun"/>
          <w:sz w:val="21"/>
          <w:szCs w:val="21"/>
        </w:rPr>
      </w:pPr>
    </w:p>
    <w:p>
      <w:pPr>
        <w:ind w:left="412"/>
        <w:spacing w:before="133"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追溯方针和追溯目标；</w:t>
      </w:r>
    </w:p>
    <w:p>
      <w:pPr>
        <w:ind w:left="412"/>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1"/>
        </w:rPr>
        <w:t>——</w:t>
      </w:r>
      <w:r>
        <w:rPr>
          <w:rFonts w:ascii="Times New Roman" w:hAnsi="Times New Roman" w:eastAsia="Times New Roman" w:cs="Times New Roman"/>
          <w:sz w:val="21"/>
          <w:szCs w:val="21"/>
          <w:spacing w:val="43"/>
          <w:w w:val="101"/>
        </w:rPr>
        <w:t xml:space="preserve"> </w:t>
      </w:r>
      <w:r>
        <w:rPr>
          <w:rFonts w:ascii="SimSun" w:hAnsi="SimSun" w:eastAsia="SimSun" w:cs="SimSun"/>
          <w:sz w:val="21"/>
          <w:szCs w:val="21"/>
          <w:spacing w:val="-1"/>
        </w:rPr>
        <w:t>自身对可追溯管理体系有效性的贡献，包括对追溯信息真实性和完整性的贡献；</w:t>
      </w:r>
    </w:p>
    <w:p>
      <w:pPr>
        <w:ind w:left="412"/>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不符合可追溯管理体系要求所带来的后果；</w:t>
      </w:r>
    </w:p>
    <w:p>
      <w:pPr>
        <w:ind w:left="412"/>
        <w:spacing w:before="157"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在其职责范围内记录、报告追溯信息</w:t>
      </w:r>
      <w:r>
        <w:rPr>
          <w:rFonts w:ascii="SimSun" w:hAnsi="SimSun" w:eastAsia="SimSun" w:cs="SimSun"/>
          <w:sz w:val="21"/>
          <w:szCs w:val="21"/>
          <w:spacing w:val="-1"/>
        </w:rPr>
        <w:t>和发现追溯问题的义务。</w:t>
      </w:r>
    </w:p>
    <w:p>
      <w:pPr>
        <w:pStyle w:val="BodyText"/>
        <w:spacing w:line="252" w:lineRule="auto"/>
        <w:rPr/>
      </w:pPr>
      <w:r/>
    </w:p>
    <w:p>
      <w:pPr>
        <w:ind w:left="1"/>
        <w:spacing w:before="68" w:line="234" w:lineRule="auto"/>
        <w:outlineLvl w:val="1"/>
        <w:rPr>
          <w:rFonts w:ascii="SimHei" w:hAnsi="SimHei" w:eastAsia="SimHei" w:cs="SimHei"/>
          <w:sz w:val="21"/>
          <w:szCs w:val="21"/>
        </w:rPr>
      </w:pPr>
      <w:bookmarkStart w:name="bookmark23" w:id="27"/>
      <w:bookmarkEnd w:id="27"/>
      <w:r>
        <w:rPr>
          <w:rFonts w:ascii="Times New Roman" w:hAnsi="Times New Roman" w:eastAsia="Times New Roman" w:cs="Times New Roman"/>
          <w:sz w:val="21"/>
          <w:szCs w:val="21"/>
          <w:spacing w:val="-3"/>
        </w:rPr>
        <w:t>7.4</w:t>
      </w:r>
      <w:r>
        <w:rPr>
          <w:rFonts w:ascii="Times New Roman" w:hAnsi="Times New Roman" w:eastAsia="Times New Roman" w:cs="Times New Roman"/>
          <w:sz w:val="21"/>
          <w:szCs w:val="21"/>
          <w:spacing w:val="11"/>
        </w:rPr>
        <w:t xml:space="preserve"> </w:t>
      </w:r>
      <w:r>
        <w:rPr>
          <w:rFonts w:ascii="SimHei" w:hAnsi="SimHei" w:eastAsia="SimHei" w:cs="SimHei"/>
          <w:sz w:val="21"/>
          <w:szCs w:val="21"/>
          <w:spacing w:val="-3"/>
        </w:rPr>
        <w:t>沟通</w:t>
      </w:r>
    </w:p>
    <w:p>
      <w:pPr>
        <w:ind w:left="424"/>
        <w:spacing w:before="165" w:line="221" w:lineRule="auto"/>
        <w:rPr>
          <w:rFonts w:ascii="SimSun" w:hAnsi="SimSun" w:eastAsia="SimSun" w:cs="SimSun"/>
          <w:sz w:val="21"/>
          <w:szCs w:val="21"/>
        </w:rPr>
      </w:pPr>
      <w:r>
        <w:rPr>
          <w:rFonts w:ascii="SimSun" w:hAnsi="SimSun" w:eastAsia="SimSun" w:cs="SimSun"/>
          <w:sz w:val="21"/>
          <w:szCs w:val="21"/>
          <w:spacing w:val="-1"/>
        </w:rPr>
        <w:t>组织应确定与可追溯管理体系相关的内部和外部沟通，</w:t>
      </w:r>
      <w:r>
        <w:rPr>
          <w:rFonts w:ascii="SimSun" w:hAnsi="SimSun" w:eastAsia="SimSun" w:cs="SimSun"/>
          <w:sz w:val="21"/>
          <w:szCs w:val="21"/>
          <w:spacing w:val="-2"/>
        </w:rPr>
        <w:t>包括：</w:t>
      </w:r>
    </w:p>
    <w:p>
      <w:pPr>
        <w:ind w:left="412"/>
        <w:spacing w:before="156"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沟通什么；</w:t>
      </w:r>
    </w:p>
    <w:p>
      <w:pPr>
        <w:ind w:left="412"/>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何时沟通；</w:t>
      </w:r>
    </w:p>
    <w:p>
      <w:pPr>
        <w:ind w:left="412"/>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与谁沟通；</w:t>
      </w:r>
    </w:p>
    <w:p>
      <w:pPr>
        <w:ind w:left="412"/>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如何沟通；</w:t>
      </w:r>
    </w:p>
    <w:p>
      <w:pPr>
        <w:ind w:left="412"/>
        <w:spacing w:before="156"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谁负责沟通。</w:t>
      </w:r>
    </w:p>
    <w:p>
      <w:pPr>
        <w:ind w:left="2" w:right="8" w:firstLine="421"/>
        <w:spacing w:before="158" w:line="360" w:lineRule="auto"/>
        <w:rPr>
          <w:rFonts w:ascii="SimSun" w:hAnsi="SimSun" w:eastAsia="SimSun" w:cs="SimSun"/>
          <w:sz w:val="21"/>
          <w:szCs w:val="21"/>
        </w:rPr>
      </w:pPr>
      <w:r>
        <w:rPr>
          <w:rFonts w:ascii="SimSun" w:hAnsi="SimSun" w:eastAsia="SimSun" w:cs="SimSun"/>
          <w:sz w:val="21"/>
          <w:szCs w:val="21"/>
          <w:spacing w:val="2"/>
        </w:rPr>
        <w:t>组织应确保追溯信息在组织内部及与供应链上下游参与方、监管机构和消费者等外部相关方之间</w:t>
      </w:r>
      <w:r>
        <w:rPr>
          <w:rFonts w:ascii="SimSun" w:hAnsi="SimSun" w:eastAsia="SimSun" w:cs="SimSun"/>
          <w:sz w:val="21"/>
          <w:szCs w:val="21"/>
          <w:spacing w:val="-2"/>
        </w:rPr>
        <w:t>得到及时、准确、有效的传递。</w:t>
      </w:r>
    </w:p>
    <w:p>
      <w:pPr>
        <w:ind w:left="1"/>
        <w:spacing w:before="161" w:line="234" w:lineRule="auto"/>
        <w:outlineLvl w:val="1"/>
        <w:rPr>
          <w:rFonts w:ascii="SimHei" w:hAnsi="SimHei" w:eastAsia="SimHei" w:cs="SimHei"/>
          <w:sz w:val="21"/>
          <w:szCs w:val="21"/>
        </w:rPr>
      </w:pPr>
      <w:bookmarkStart w:name="bookmark24" w:id="28"/>
      <w:bookmarkEnd w:id="28"/>
      <w:r>
        <w:rPr>
          <w:rFonts w:ascii="Times New Roman" w:hAnsi="Times New Roman" w:eastAsia="Times New Roman" w:cs="Times New Roman"/>
          <w:sz w:val="21"/>
          <w:szCs w:val="21"/>
          <w:spacing w:val="-1"/>
        </w:rPr>
        <w:t>7.5 </w:t>
      </w:r>
      <w:r>
        <w:rPr>
          <w:rFonts w:ascii="SimHei" w:hAnsi="SimHei" w:eastAsia="SimHei" w:cs="SimHei"/>
          <w:sz w:val="21"/>
          <w:szCs w:val="21"/>
          <w:spacing w:val="-1"/>
        </w:rPr>
        <w:t>成文信息</w:t>
      </w:r>
    </w:p>
    <w:p>
      <w:pPr>
        <w:ind w:left="1"/>
        <w:spacing w:before="204" w:line="234" w:lineRule="auto"/>
        <w:rPr>
          <w:rFonts w:ascii="SimHei" w:hAnsi="SimHei" w:eastAsia="SimHei" w:cs="SimHei"/>
          <w:sz w:val="21"/>
          <w:szCs w:val="21"/>
        </w:rPr>
      </w:pPr>
      <w:r>
        <w:rPr>
          <w:rFonts w:ascii="Times New Roman" w:hAnsi="Times New Roman" w:eastAsia="Times New Roman" w:cs="Times New Roman"/>
          <w:sz w:val="21"/>
          <w:szCs w:val="21"/>
          <w:spacing w:val="-2"/>
        </w:rPr>
        <w:t>7.5.1</w:t>
      </w:r>
      <w:r>
        <w:rPr>
          <w:rFonts w:ascii="Times New Roman" w:hAnsi="Times New Roman" w:eastAsia="Times New Roman" w:cs="Times New Roman"/>
          <w:sz w:val="21"/>
          <w:szCs w:val="21"/>
          <w:spacing w:val="12"/>
        </w:rPr>
        <w:t xml:space="preserve"> </w:t>
      </w:r>
      <w:r>
        <w:rPr>
          <w:rFonts w:ascii="SimHei" w:hAnsi="SimHei" w:eastAsia="SimHei" w:cs="SimHei"/>
          <w:sz w:val="21"/>
          <w:szCs w:val="21"/>
          <w:spacing w:val="-2"/>
        </w:rPr>
        <w:t>总则</w:t>
      </w:r>
    </w:p>
    <w:p>
      <w:pPr>
        <w:ind w:left="424"/>
        <w:spacing w:before="147" w:line="221" w:lineRule="auto"/>
        <w:rPr>
          <w:rFonts w:ascii="SimSun" w:hAnsi="SimSun" w:eastAsia="SimSun" w:cs="SimSun"/>
          <w:sz w:val="21"/>
          <w:szCs w:val="21"/>
        </w:rPr>
      </w:pPr>
      <w:r>
        <w:rPr>
          <w:rFonts w:ascii="SimSun" w:hAnsi="SimSun" w:eastAsia="SimSun" w:cs="SimSun"/>
          <w:sz w:val="21"/>
          <w:szCs w:val="21"/>
          <w:spacing w:val="-3"/>
        </w:rPr>
        <w:t>组织的可追溯管理体系应包括：</w:t>
      </w:r>
    </w:p>
    <w:p>
      <w:pPr>
        <w:ind w:left="412"/>
        <w:spacing w:before="160"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本文件要求的成文信息；</w:t>
      </w:r>
    </w:p>
    <w:p>
      <w:pPr>
        <w:ind w:left="412"/>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组织确定的为确保可追溯管理体系有</w:t>
      </w:r>
      <w:r>
        <w:rPr>
          <w:rFonts w:ascii="SimSun" w:hAnsi="SimSun" w:eastAsia="SimSun" w:cs="SimSun"/>
          <w:sz w:val="21"/>
          <w:szCs w:val="21"/>
          <w:spacing w:val="-1"/>
        </w:rPr>
        <w:t>效性所必需的成文信息。</w:t>
      </w:r>
    </w:p>
    <w:p>
      <w:pPr>
        <w:ind w:right="175" w:firstLine="2"/>
        <w:spacing w:before="156" w:line="312" w:lineRule="auto"/>
        <w:rPr>
          <w:rFonts w:ascii="SimSun" w:hAnsi="SimSun" w:eastAsia="SimSun" w:cs="SimSun"/>
          <w:sz w:val="18"/>
          <w:szCs w:val="18"/>
        </w:rPr>
      </w:pPr>
      <w:r>
        <w:rPr>
          <w:rFonts w:ascii="SimHei" w:hAnsi="SimHei" w:eastAsia="SimHei" w:cs="SimHei"/>
          <w:sz w:val="18"/>
          <w:szCs w:val="18"/>
        </w:rPr>
        <w:t>注：</w:t>
      </w:r>
      <w:r>
        <w:rPr>
          <w:rFonts w:ascii="SimSun" w:hAnsi="SimSun" w:eastAsia="SimSun" w:cs="SimSun"/>
          <w:sz w:val="18"/>
          <w:szCs w:val="18"/>
        </w:rPr>
        <w:t>不同组织的可追溯管理体系成文信息的多少与详略程度可以不同，取决于组织的规模、</w:t>
      </w:r>
      <w:r>
        <w:rPr>
          <w:rFonts w:ascii="SimSun" w:hAnsi="SimSun" w:eastAsia="SimSun" w:cs="SimSun"/>
          <w:sz w:val="18"/>
          <w:szCs w:val="18"/>
          <w:spacing w:val="-1"/>
        </w:rPr>
        <w:t>活动类型、产品特点、过</w:t>
      </w:r>
      <w:r>
        <w:rPr>
          <w:rFonts w:ascii="SimSun" w:hAnsi="SimSun" w:eastAsia="SimSun" w:cs="SimSun"/>
          <w:sz w:val="18"/>
          <w:szCs w:val="18"/>
          <w:spacing w:val="-2"/>
        </w:rPr>
        <w:t>程及其相互作用的复杂程度以及人员的能力。</w:t>
      </w:r>
    </w:p>
    <w:p>
      <w:pPr>
        <w:ind w:left="1"/>
        <w:spacing w:before="122" w:line="233" w:lineRule="auto"/>
        <w:rPr>
          <w:rFonts w:ascii="SimHei" w:hAnsi="SimHei" w:eastAsia="SimHei" w:cs="SimHei"/>
          <w:sz w:val="21"/>
          <w:szCs w:val="21"/>
        </w:rPr>
      </w:pPr>
      <w:r>
        <w:rPr>
          <w:rFonts w:ascii="Times New Roman" w:hAnsi="Times New Roman" w:eastAsia="Times New Roman" w:cs="Times New Roman"/>
          <w:sz w:val="21"/>
          <w:szCs w:val="21"/>
          <w:spacing w:val="-1"/>
        </w:rPr>
        <w:t>7.5.2 </w:t>
      </w:r>
      <w:r>
        <w:rPr>
          <w:rFonts w:ascii="SimHei" w:hAnsi="SimHei" w:eastAsia="SimHei" w:cs="SimHei"/>
          <w:sz w:val="21"/>
          <w:szCs w:val="21"/>
          <w:spacing w:val="-1"/>
        </w:rPr>
        <w:t>创建和更新</w:t>
      </w:r>
    </w:p>
    <w:p>
      <w:pPr>
        <w:ind w:left="424"/>
        <w:spacing w:before="145" w:line="221" w:lineRule="auto"/>
        <w:rPr>
          <w:rFonts w:ascii="SimSun" w:hAnsi="SimSun" w:eastAsia="SimSun" w:cs="SimSun"/>
          <w:sz w:val="21"/>
          <w:szCs w:val="21"/>
        </w:rPr>
      </w:pPr>
      <w:r>
        <w:rPr>
          <w:rFonts w:ascii="SimSun" w:hAnsi="SimSun" w:eastAsia="SimSun" w:cs="SimSun"/>
          <w:sz w:val="21"/>
          <w:szCs w:val="21"/>
          <w:spacing w:val="-2"/>
        </w:rPr>
        <w:t>组织在创建和更新成文信息时，应确保：</w:t>
      </w:r>
    </w:p>
    <w:p>
      <w:pPr>
        <w:ind w:left="412"/>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适当的标识和说明（如标题、日期、作者、编号</w:t>
      </w:r>
      <w:r>
        <w:rPr>
          <w:rFonts w:ascii="SimSun" w:hAnsi="SimSun" w:eastAsia="SimSun" w:cs="SimSun"/>
          <w:sz w:val="21"/>
          <w:szCs w:val="21"/>
          <w:spacing w:val="-5"/>
        </w:rPr>
        <w:t>）；</w:t>
      </w:r>
    </w:p>
    <w:p>
      <w:pPr>
        <w:ind w:left="412"/>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适当的格式和媒介；</w:t>
      </w:r>
    </w:p>
    <w:p>
      <w:pPr>
        <w:ind w:left="412"/>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适当的评审和批准。</w:t>
      </w:r>
    </w:p>
    <w:p>
      <w:pPr>
        <w:ind w:left="1"/>
        <w:spacing w:before="278" w:line="234" w:lineRule="auto"/>
        <w:rPr>
          <w:rFonts w:ascii="SimHei" w:hAnsi="SimHei" w:eastAsia="SimHei" w:cs="SimHei"/>
          <w:sz w:val="21"/>
          <w:szCs w:val="21"/>
        </w:rPr>
      </w:pPr>
      <w:r>
        <w:rPr>
          <w:rFonts w:ascii="Times New Roman" w:hAnsi="Times New Roman" w:eastAsia="Times New Roman" w:cs="Times New Roman"/>
          <w:sz w:val="21"/>
          <w:szCs w:val="21"/>
          <w:spacing w:val="-1"/>
        </w:rPr>
        <w:t>7.5.3 </w:t>
      </w:r>
      <w:r>
        <w:rPr>
          <w:rFonts w:ascii="SimHei" w:hAnsi="SimHei" w:eastAsia="SimHei" w:cs="SimHei"/>
          <w:sz w:val="21"/>
          <w:szCs w:val="21"/>
          <w:spacing w:val="-1"/>
        </w:rPr>
        <w:t>成文信息的控制</w:t>
      </w:r>
    </w:p>
    <w:p>
      <w:pPr>
        <w:ind w:left="424"/>
        <w:spacing w:before="147" w:line="220" w:lineRule="auto"/>
        <w:rPr>
          <w:rFonts w:ascii="SimSun" w:hAnsi="SimSun" w:eastAsia="SimSun" w:cs="SimSun"/>
          <w:sz w:val="21"/>
          <w:szCs w:val="21"/>
        </w:rPr>
      </w:pPr>
      <w:r>
        <w:rPr>
          <w:rFonts w:ascii="SimSun" w:hAnsi="SimSun" w:eastAsia="SimSun" w:cs="SimSun"/>
          <w:sz w:val="21"/>
          <w:szCs w:val="21"/>
          <w:spacing w:val="-1"/>
        </w:rPr>
        <w:t>组织应控制本文件所要求的成文信息，以确保：</w:t>
      </w:r>
    </w:p>
    <w:p>
      <w:pPr>
        <w:ind w:left="412"/>
        <w:spacing w:before="158"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在需要的场合和时机可获得并适用；</w:t>
      </w:r>
    </w:p>
    <w:p>
      <w:pPr>
        <w:ind w:left="412"/>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得到充分保护（如防止泄密、不当使用或完整性受损）。</w:t>
      </w:r>
    </w:p>
    <w:p>
      <w:pPr>
        <w:ind w:left="424"/>
        <w:spacing w:before="157" w:line="221" w:lineRule="auto"/>
        <w:rPr>
          <w:rFonts w:ascii="SimSun" w:hAnsi="SimSun" w:eastAsia="SimSun" w:cs="SimSun"/>
          <w:sz w:val="21"/>
          <w:szCs w:val="21"/>
        </w:rPr>
      </w:pPr>
      <w:r>
        <w:rPr>
          <w:rFonts w:ascii="SimSun" w:hAnsi="SimSun" w:eastAsia="SimSun" w:cs="SimSun"/>
          <w:sz w:val="21"/>
          <w:szCs w:val="21"/>
          <w:spacing w:val="-1"/>
        </w:rPr>
        <w:t>为控制成文信息，适用时组织应进行下列活动：</w:t>
      </w:r>
    </w:p>
    <w:p>
      <w:pPr>
        <w:ind w:left="412"/>
        <w:spacing w:before="159"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分发、访问、检索和使用；</w:t>
      </w:r>
    </w:p>
    <w:p>
      <w:pPr>
        <w:ind w:left="412"/>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存储和防护，包括保持可读性；</w:t>
      </w:r>
    </w:p>
    <w:p>
      <w:pPr>
        <w:ind w:left="412"/>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更改控制（如版本控制</w:t>
      </w:r>
      <w:r>
        <w:rPr>
          <w:rFonts w:ascii="SimSun" w:hAnsi="SimSun" w:eastAsia="SimSun" w:cs="SimSun"/>
          <w:sz w:val="21"/>
          <w:szCs w:val="21"/>
          <w:spacing w:val="-9"/>
        </w:rPr>
        <w:t>）；</w:t>
      </w:r>
    </w:p>
    <w:p>
      <w:pPr>
        <w:ind w:left="412"/>
        <w:spacing w:before="158" w:line="221"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保留和处置。</w:t>
      </w:r>
    </w:p>
    <w:p>
      <w:pPr>
        <w:spacing w:line="221" w:lineRule="auto"/>
        <w:sectPr>
          <w:headerReference w:type="default" r:id="rId18"/>
          <w:footerReference w:type="default" r:id="rId19"/>
          <w:pgSz w:w="11907" w:h="16839"/>
          <w:pgMar w:top="1028" w:right="1134" w:bottom="880" w:left="1422" w:header="703" w:footer="680" w:gutter="0"/>
        </w:sectPr>
        <w:rPr>
          <w:rFonts w:ascii="SimSun" w:hAnsi="SimSun" w:eastAsia="SimSun" w:cs="SimSun"/>
          <w:sz w:val="21"/>
          <w:szCs w:val="21"/>
        </w:rPr>
      </w:pPr>
    </w:p>
    <w:p>
      <w:pPr>
        <w:ind w:left="423"/>
        <w:spacing w:before="133" w:line="221" w:lineRule="auto"/>
        <w:rPr>
          <w:rFonts w:ascii="SimSun" w:hAnsi="SimSun" w:eastAsia="SimSun" w:cs="SimSun"/>
          <w:sz w:val="21"/>
          <w:szCs w:val="21"/>
        </w:rPr>
      </w:pPr>
      <w:r>
        <w:rPr>
          <w:rFonts w:ascii="SimSun" w:hAnsi="SimSun" w:eastAsia="SimSun" w:cs="SimSun"/>
          <w:sz w:val="21"/>
          <w:szCs w:val="21"/>
        </w:rPr>
        <w:t>组织应识别和控制所确定的来源于外部的、对可追溯管理体系策划和运行所必需的成</w:t>
      </w:r>
      <w:r>
        <w:rPr>
          <w:rFonts w:ascii="SimSun" w:hAnsi="SimSun" w:eastAsia="SimSun" w:cs="SimSun"/>
          <w:sz w:val="21"/>
          <w:szCs w:val="21"/>
          <w:spacing w:val="-1"/>
        </w:rPr>
        <w:t>文信息。</w:t>
      </w:r>
    </w:p>
    <w:p>
      <w:pPr>
        <w:pStyle w:val="BodyText"/>
        <w:spacing w:line="350" w:lineRule="auto"/>
        <w:rPr/>
      </w:pPr>
      <w:r/>
    </w:p>
    <w:p>
      <w:pPr>
        <w:ind w:left="5"/>
        <w:spacing w:before="69" w:line="234" w:lineRule="auto"/>
        <w:outlineLvl w:val="0"/>
        <w:rPr>
          <w:rFonts w:ascii="SimHei" w:hAnsi="SimHei" w:eastAsia="SimHei" w:cs="SimHei"/>
          <w:sz w:val="21"/>
          <w:szCs w:val="21"/>
        </w:rPr>
      </w:pPr>
      <w:bookmarkStart w:name="bookmark25" w:id="29"/>
      <w:bookmarkEnd w:id="29"/>
      <w:r>
        <w:rPr>
          <w:rFonts w:ascii="Times New Roman" w:hAnsi="Times New Roman" w:eastAsia="Times New Roman" w:cs="Times New Roman"/>
          <w:sz w:val="21"/>
          <w:szCs w:val="21"/>
          <w:spacing w:val="-6"/>
        </w:rPr>
        <w:t>8</w:t>
      </w:r>
      <w:r>
        <w:rPr>
          <w:rFonts w:ascii="Times New Roman" w:hAnsi="Times New Roman" w:eastAsia="Times New Roman" w:cs="Times New Roman"/>
          <w:sz w:val="21"/>
          <w:szCs w:val="21"/>
          <w:spacing w:val="11"/>
        </w:rPr>
        <w:t xml:space="preserve"> </w:t>
      </w:r>
      <w:r>
        <w:rPr>
          <w:rFonts w:ascii="SimHei" w:hAnsi="SimHei" w:eastAsia="SimHei" w:cs="SimHei"/>
          <w:sz w:val="21"/>
          <w:szCs w:val="21"/>
          <w:spacing w:val="-6"/>
        </w:rPr>
        <w:t>运行</w:t>
      </w:r>
    </w:p>
    <w:p>
      <w:pPr>
        <w:ind w:left="5"/>
        <w:spacing w:before="249" w:line="234" w:lineRule="auto"/>
        <w:outlineLvl w:val="1"/>
        <w:rPr>
          <w:rFonts w:ascii="SimHei" w:hAnsi="SimHei" w:eastAsia="SimHei" w:cs="SimHei"/>
          <w:sz w:val="21"/>
          <w:szCs w:val="21"/>
        </w:rPr>
      </w:pPr>
      <w:bookmarkStart w:name="bookmark26" w:id="30"/>
      <w:bookmarkEnd w:id="30"/>
      <w:r>
        <w:rPr>
          <w:rFonts w:ascii="Times New Roman" w:hAnsi="Times New Roman" w:eastAsia="Times New Roman" w:cs="Times New Roman"/>
          <w:sz w:val="21"/>
          <w:szCs w:val="21"/>
          <w:spacing w:val="-1"/>
        </w:rPr>
        <w:t>8.1 </w:t>
      </w:r>
      <w:r>
        <w:rPr>
          <w:rFonts w:ascii="SimHei" w:hAnsi="SimHei" w:eastAsia="SimHei" w:cs="SimHei"/>
          <w:sz w:val="21"/>
          <w:szCs w:val="21"/>
          <w:spacing w:val="-1"/>
        </w:rPr>
        <w:t>运行的策划和控制</w:t>
      </w:r>
    </w:p>
    <w:p>
      <w:pPr>
        <w:ind w:right="174" w:firstLine="423"/>
        <w:spacing w:before="163" w:line="352" w:lineRule="auto"/>
        <w:rPr>
          <w:rFonts w:ascii="SimSun" w:hAnsi="SimSun" w:eastAsia="SimSun" w:cs="SimSun"/>
          <w:sz w:val="21"/>
          <w:szCs w:val="21"/>
        </w:rPr>
      </w:pPr>
      <w:r>
        <w:rPr>
          <w:rFonts w:ascii="SimSun" w:hAnsi="SimSun" w:eastAsia="SimSun" w:cs="SimSun"/>
          <w:sz w:val="21"/>
          <w:szCs w:val="21"/>
          <w:spacing w:val="1"/>
        </w:rPr>
        <w:t>组织应策划、实施和控制满足追溯目标所需的过程，并按照 </w:t>
      </w:r>
      <w:r>
        <w:rPr>
          <w:rFonts w:ascii="Times New Roman" w:hAnsi="Times New Roman" w:eastAsia="Times New Roman" w:cs="Times New Roman"/>
          <w:sz w:val="21"/>
          <w:szCs w:val="21"/>
          <w:spacing w:val="1"/>
        </w:rPr>
        <w:t>6.1  </w:t>
      </w:r>
      <w:r>
        <w:rPr>
          <w:rFonts w:ascii="SimSun" w:hAnsi="SimSun" w:eastAsia="SimSun" w:cs="SimSun"/>
          <w:sz w:val="21"/>
          <w:szCs w:val="21"/>
          <w:spacing w:val="1"/>
        </w:rPr>
        <w:t>的规定实施应对风险和机遇的措</w:t>
      </w:r>
      <w:r>
        <w:rPr>
          <w:rFonts w:ascii="SimSun" w:hAnsi="SimSun" w:eastAsia="SimSun" w:cs="SimSun"/>
          <w:sz w:val="21"/>
          <w:szCs w:val="21"/>
          <w:spacing w:val="-10"/>
        </w:rPr>
        <w:t>施。</w:t>
      </w:r>
    </w:p>
    <w:p>
      <w:pPr>
        <w:ind w:left="423"/>
        <w:spacing w:before="17" w:line="220" w:lineRule="auto"/>
        <w:rPr>
          <w:rFonts w:ascii="SimSun" w:hAnsi="SimSun" w:eastAsia="SimSun" w:cs="SimSun"/>
          <w:sz w:val="21"/>
          <w:szCs w:val="21"/>
        </w:rPr>
      </w:pPr>
      <w:r>
        <w:rPr>
          <w:rFonts w:ascii="SimSun" w:hAnsi="SimSun" w:eastAsia="SimSun" w:cs="SimSun"/>
          <w:sz w:val="21"/>
          <w:szCs w:val="21"/>
          <w:spacing w:val="-1"/>
        </w:rPr>
        <w:t>组织应控制计划的变更，评审非预期变更的后果，必要时采取措施减轻不利影响。</w:t>
      </w:r>
    </w:p>
    <w:p>
      <w:pPr>
        <w:ind w:left="423"/>
        <w:spacing w:before="157" w:line="220" w:lineRule="auto"/>
        <w:rPr>
          <w:rFonts w:ascii="SimSun" w:hAnsi="SimSun" w:eastAsia="SimSun" w:cs="SimSun"/>
          <w:sz w:val="21"/>
          <w:szCs w:val="21"/>
        </w:rPr>
      </w:pPr>
      <w:r>
        <w:rPr>
          <w:rFonts w:ascii="SimSun" w:hAnsi="SimSun" w:eastAsia="SimSun" w:cs="SimSun"/>
          <w:sz w:val="21"/>
          <w:szCs w:val="21"/>
          <w:spacing w:val="-1"/>
        </w:rPr>
        <w:t>组织应确保外包的追溯活动（如委托外部机构实施追溯系统开发、运维或数据存储）受控。</w:t>
      </w:r>
    </w:p>
    <w:p>
      <w:pPr>
        <w:pStyle w:val="BodyText"/>
        <w:spacing w:line="251" w:lineRule="auto"/>
        <w:rPr/>
      </w:pPr>
      <w:r/>
    </w:p>
    <w:p>
      <w:pPr>
        <w:ind w:left="5"/>
        <w:spacing w:before="69" w:line="234" w:lineRule="auto"/>
        <w:outlineLvl w:val="1"/>
        <w:rPr>
          <w:rFonts w:ascii="SimHei" w:hAnsi="SimHei" w:eastAsia="SimHei" w:cs="SimHei"/>
          <w:sz w:val="21"/>
          <w:szCs w:val="21"/>
        </w:rPr>
      </w:pPr>
      <w:bookmarkStart w:name="bookmark27" w:id="31"/>
      <w:bookmarkEnd w:id="31"/>
      <w:r>
        <w:rPr>
          <w:rFonts w:ascii="Times New Roman" w:hAnsi="Times New Roman" w:eastAsia="Times New Roman" w:cs="Times New Roman"/>
          <w:sz w:val="21"/>
          <w:szCs w:val="21"/>
          <w:spacing w:val="-1"/>
        </w:rPr>
        <w:t>8.2 </w:t>
      </w:r>
      <w:r>
        <w:rPr>
          <w:rFonts w:ascii="SimHei" w:hAnsi="SimHei" w:eastAsia="SimHei" w:cs="SimHei"/>
          <w:sz w:val="21"/>
          <w:szCs w:val="21"/>
          <w:spacing w:val="-1"/>
        </w:rPr>
        <w:t>追溯单元与追溯码</w:t>
      </w:r>
    </w:p>
    <w:p>
      <w:pPr>
        <w:ind w:left="2" w:right="182" w:firstLine="420"/>
        <w:spacing w:before="163" w:line="360" w:lineRule="auto"/>
        <w:rPr>
          <w:rFonts w:ascii="SimSun" w:hAnsi="SimSun" w:eastAsia="SimSun" w:cs="SimSun"/>
          <w:sz w:val="21"/>
          <w:szCs w:val="21"/>
        </w:rPr>
      </w:pPr>
      <w:r>
        <w:rPr>
          <w:rFonts w:ascii="SimSun" w:hAnsi="SimSun" w:eastAsia="SimSun" w:cs="SimSun"/>
          <w:sz w:val="21"/>
          <w:szCs w:val="21"/>
          <w:spacing w:val="2"/>
        </w:rPr>
        <w:t>组织应结合产品特点、追溯成本和追溯要求，合理确定追溯单元，并对每个追溯单元进行唯一标</w:t>
      </w:r>
      <w:r>
        <w:rPr>
          <w:rFonts w:ascii="SimSun" w:hAnsi="SimSun" w:eastAsia="SimSun" w:cs="SimSun"/>
          <w:sz w:val="21"/>
          <w:szCs w:val="21"/>
          <w:spacing w:val="-10"/>
        </w:rPr>
        <w:t>识。</w:t>
      </w:r>
    </w:p>
    <w:p>
      <w:pPr>
        <w:ind w:left="423"/>
        <w:spacing w:before="1" w:line="220" w:lineRule="auto"/>
        <w:rPr>
          <w:rFonts w:ascii="SimSun" w:hAnsi="SimSun" w:eastAsia="SimSun" w:cs="SimSun"/>
          <w:sz w:val="21"/>
          <w:szCs w:val="21"/>
        </w:rPr>
      </w:pPr>
      <w:r>
        <w:rPr>
          <w:rFonts w:ascii="SimSun" w:hAnsi="SimSun" w:eastAsia="SimSun" w:cs="SimSun"/>
          <w:sz w:val="21"/>
          <w:szCs w:val="21"/>
          <w:spacing w:val="-1"/>
        </w:rPr>
        <w:t>组织应为追溯单元编制唯一的追溯码，并确保追溯码与追溯信息准确关联。</w:t>
      </w:r>
    </w:p>
    <w:p>
      <w:pPr>
        <w:ind w:left="4" w:right="2" w:firstLine="419"/>
        <w:spacing w:before="157" w:line="360" w:lineRule="auto"/>
        <w:rPr>
          <w:rFonts w:ascii="SimSun" w:hAnsi="SimSun" w:eastAsia="SimSun" w:cs="SimSun"/>
          <w:sz w:val="21"/>
          <w:szCs w:val="21"/>
        </w:rPr>
      </w:pPr>
      <w:r>
        <w:rPr>
          <w:rFonts w:ascii="SimSun" w:hAnsi="SimSun" w:eastAsia="SimSun" w:cs="SimSun"/>
          <w:sz w:val="21"/>
          <w:szCs w:val="21"/>
          <w:spacing w:val="2"/>
        </w:rPr>
        <w:t>组织应确保追溯码的标识管理清晰、可识别，宜具</w:t>
      </w:r>
      <w:r>
        <w:rPr>
          <w:rFonts w:ascii="SimSun" w:hAnsi="SimSun" w:eastAsia="SimSun" w:cs="SimSun"/>
          <w:sz w:val="21"/>
          <w:szCs w:val="21"/>
          <w:spacing w:val="1"/>
        </w:rPr>
        <w:t>有防伪功能，并采用适当的方式（如商品条码、</w:t>
      </w:r>
      <w:r>
        <w:rPr>
          <w:rFonts w:ascii="SimSun" w:hAnsi="SimSun" w:eastAsia="SimSun" w:cs="SimSun"/>
          <w:sz w:val="21"/>
          <w:szCs w:val="21"/>
        </w:rPr>
        <w:t>二维码、物联网标识等）加施于产品或产品包</w:t>
      </w:r>
      <w:r>
        <w:rPr>
          <w:rFonts w:ascii="SimSun" w:hAnsi="SimSun" w:eastAsia="SimSun" w:cs="SimSun"/>
          <w:sz w:val="21"/>
          <w:szCs w:val="21"/>
          <w:spacing w:val="-1"/>
        </w:rPr>
        <w:t>装等载体上。</w:t>
      </w:r>
    </w:p>
    <w:p>
      <w:pPr>
        <w:ind w:left="423"/>
        <w:spacing w:line="220" w:lineRule="auto"/>
        <w:rPr>
          <w:rFonts w:ascii="SimSun" w:hAnsi="SimSun" w:eastAsia="SimSun" w:cs="SimSun"/>
          <w:sz w:val="21"/>
          <w:szCs w:val="21"/>
        </w:rPr>
      </w:pPr>
      <w:r>
        <w:rPr>
          <w:rFonts w:ascii="SimSun" w:hAnsi="SimSun" w:eastAsia="SimSun" w:cs="SimSun"/>
          <w:sz w:val="21"/>
          <w:szCs w:val="21"/>
        </w:rPr>
        <w:t>组织应保持追溯单元与追溯码确定及标识管理</w:t>
      </w:r>
      <w:r>
        <w:rPr>
          <w:rFonts w:ascii="SimSun" w:hAnsi="SimSun" w:eastAsia="SimSun" w:cs="SimSun"/>
          <w:sz w:val="21"/>
          <w:szCs w:val="21"/>
          <w:spacing w:val="-1"/>
        </w:rPr>
        <w:t>的成文信息。</w:t>
      </w:r>
    </w:p>
    <w:p>
      <w:pPr>
        <w:pStyle w:val="BodyText"/>
        <w:spacing w:line="250" w:lineRule="auto"/>
        <w:rPr/>
      </w:pPr>
      <w:r/>
    </w:p>
    <w:p>
      <w:pPr>
        <w:ind w:left="5"/>
        <w:spacing w:before="69" w:line="234" w:lineRule="auto"/>
        <w:outlineLvl w:val="1"/>
        <w:rPr>
          <w:rFonts w:ascii="SimHei" w:hAnsi="SimHei" w:eastAsia="SimHei" w:cs="SimHei"/>
          <w:sz w:val="21"/>
          <w:szCs w:val="21"/>
        </w:rPr>
      </w:pPr>
      <w:bookmarkStart w:name="bookmark28" w:id="32"/>
      <w:bookmarkEnd w:id="32"/>
      <w:r>
        <w:rPr>
          <w:rFonts w:ascii="Times New Roman" w:hAnsi="Times New Roman" w:eastAsia="Times New Roman" w:cs="Times New Roman"/>
          <w:sz w:val="21"/>
          <w:szCs w:val="21"/>
          <w:spacing w:val="-2"/>
        </w:rPr>
        <w:t>8.3 </w:t>
      </w:r>
      <w:r>
        <w:rPr>
          <w:rFonts w:ascii="SimHei" w:hAnsi="SimHei" w:eastAsia="SimHei" w:cs="SimHei"/>
          <w:sz w:val="21"/>
          <w:szCs w:val="21"/>
          <w:spacing w:val="-2"/>
        </w:rPr>
        <w:t>追溯信息</w:t>
      </w:r>
    </w:p>
    <w:p>
      <w:pPr>
        <w:ind w:right="182" w:firstLine="423"/>
        <w:spacing w:before="163" w:line="360" w:lineRule="auto"/>
        <w:rPr>
          <w:rFonts w:ascii="SimSun" w:hAnsi="SimSun" w:eastAsia="SimSun" w:cs="SimSun"/>
          <w:sz w:val="21"/>
          <w:szCs w:val="21"/>
        </w:rPr>
      </w:pPr>
      <w:r>
        <w:rPr>
          <w:rFonts w:ascii="SimSun" w:hAnsi="SimSun" w:eastAsia="SimSun" w:cs="SimSun"/>
          <w:sz w:val="21"/>
          <w:szCs w:val="21"/>
          <w:spacing w:val="2"/>
        </w:rPr>
        <w:t>组织应确定并采集可追溯管理体系所需的基本追溯信息和扩展追溯信息，确保追溯信息覆盖供应</w:t>
      </w:r>
      <w:r>
        <w:rPr>
          <w:rFonts w:ascii="SimSun" w:hAnsi="SimSun" w:eastAsia="SimSun" w:cs="SimSun"/>
          <w:sz w:val="21"/>
          <w:szCs w:val="21"/>
          <w:spacing w:val="-1"/>
        </w:rPr>
        <w:t>链相关环节。</w:t>
      </w:r>
    </w:p>
    <w:p>
      <w:pPr>
        <w:ind w:firstLine="420"/>
        <w:spacing w:before="1" w:line="358" w:lineRule="auto"/>
        <w:jc w:val="both"/>
        <w:rPr>
          <w:rFonts w:ascii="SimSun" w:hAnsi="SimSun" w:eastAsia="SimSun" w:cs="SimSun"/>
          <w:sz w:val="21"/>
          <w:szCs w:val="21"/>
        </w:rPr>
      </w:pPr>
      <w:r>
        <w:rPr>
          <w:rFonts w:ascii="SimSun" w:hAnsi="SimSun" w:eastAsia="SimSun" w:cs="SimSun"/>
          <w:sz w:val="21"/>
          <w:szCs w:val="21"/>
          <w:spacing w:val="2"/>
        </w:rPr>
        <w:t>追溯信息可包括产品生产经营主体信息、产品信息、初级生产信息、加工信息、包装信息、仓储</w:t>
      </w:r>
      <w:r>
        <w:rPr>
          <w:rFonts w:ascii="SimSun" w:hAnsi="SimSun" w:eastAsia="SimSun" w:cs="SimSun"/>
          <w:sz w:val="21"/>
          <w:szCs w:val="21"/>
          <w:spacing w:val="2"/>
        </w:rPr>
        <w:t>信息、运输信息、配送信息、销售信息、消费使用信息、</w:t>
      </w:r>
      <w:r>
        <w:rPr>
          <w:rFonts w:ascii="SimSun" w:hAnsi="SimSun" w:eastAsia="SimSun" w:cs="SimSun"/>
          <w:sz w:val="21"/>
          <w:szCs w:val="21"/>
          <w:spacing w:val="1"/>
        </w:rPr>
        <w:t>追溯码编码信息、标识管理信息、交易信息、</w:t>
      </w:r>
      <w:r>
        <w:rPr>
          <w:rFonts w:ascii="SimSun" w:hAnsi="SimSun" w:eastAsia="SimSun" w:cs="SimSun"/>
          <w:sz w:val="21"/>
          <w:szCs w:val="21"/>
          <w:spacing w:val="-1"/>
        </w:rPr>
        <w:t>应急管理信息等。</w:t>
      </w:r>
    </w:p>
    <w:p>
      <w:pPr>
        <w:ind w:left="1"/>
        <w:spacing w:line="218" w:lineRule="auto"/>
        <w:rPr>
          <w:rFonts w:ascii="SimSun" w:hAnsi="SimSun" w:eastAsia="SimSun" w:cs="SimSun"/>
          <w:sz w:val="18"/>
          <w:szCs w:val="18"/>
        </w:rPr>
      </w:pPr>
      <w:r>
        <w:rPr>
          <w:rFonts w:ascii="SimHei" w:hAnsi="SimHei" w:eastAsia="SimHei" w:cs="SimHei"/>
          <w:sz w:val="18"/>
          <w:szCs w:val="18"/>
          <w:spacing w:val="-3"/>
        </w:rPr>
        <w:t>注：</w:t>
      </w:r>
      <w:r>
        <w:rPr>
          <w:rFonts w:ascii="SimSun" w:hAnsi="SimSun" w:eastAsia="SimSun" w:cs="SimSun"/>
          <w:sz w:val="18"/>
          <w:szCs w:val="18"/>
          <w:spacing w:val="-3"/>
        </w:rPr>
        <w:t>追溯信息内容可参照附录</w:t>
      </w:r>
      <w:r>
        <w:rPr>
          <w:rFonts w:ascii="SimSun" w:hAnsi="SimSun" w:eastAsia="SimSun" w:cs="SimSun"/>
          <w:sz w:val="18"/>
          <w:szCs w:val="18"/>
          <w:spacing w:val="-36"/>
        </w:rPr>
        <w:t xml:space="preserve"> </w:t>
      </w:r>
      <w:r>
        <w:rPr>
          <w:rFonts w:ascii="Times New Roman" w:hAnsi="Times New Roman" w:eastAsia="Times New Roman" w:cs="Times New Roman"/>
          <w:sz w:val="18"/>
          <w:szCs w:val="18"/>
          <w:spacing w:val="-3"/>
        </w:rPr>
        <w:t>B</w:t>
      </w:r>
      <w:r>
        <w:rPr>
          <w:rFonts w:ascii="Times New Roman" w:hAnsi="Times New Roman" w:eastAsia="Times New Roman" w:cs="Times New Roman"/>
          <w:sz w:val="18"/>
          <w:szCs w:val="18"/>
          <w:spacing w:val="12"/>
          <w:w w:val="101"/>
        </w:rPr>
        <w:t xml:space="preserve"> </w:t>
      </w:r>
      <w:r>
        <w:rPr>
          <w:rFonts w:ascii="SimSun" w:hAnsi="SimSun" w:eastAsia="SimSun" w:cs="SimSun"/>
          <w:sz w:val="18"/>
          <w:szCs w:val="18"/>
          <w:spacing w:val="-3"/>
        </w:rPr>
        <w:t>的示例。</w:t>
      </w:r>
    </w:p>
    <w:p>
      <w:pPr>
        <w:ind w:left="5" w:right="182" w:firstLine="417"/>
        <w:spacing w:before="153" w:line="361" w:lineRule="auto"/>
        <w:rPr>
          <w:rFonts w:ascii="SimSun" w:hAnsi="SimSun" w:eastAsia="SimSun" w:cs="SimSun"/>
          <w:sz w:val="21"/>
          <w:szCs w:val="21"/>
        </w:rPr>
      </w:pPr>
      <w:r>
        <w:rPr>
          <w:rFonts w:ascii="SimSun" w:hAnsi="SimSun" w:eastAsia="SimSun" w:cs="SimSun"/>
          <w:sz w:val="21"/>
          <w:szCs w:val="21"/>
          <w:spacing w:val="2"/>
        </w:rPr>
        <w:t>组织应确保追溯信息的全面性、真实性和合规性，并对追溯信息的采集、记录、传输、存储进行</w:t>
      </w:r>
      <w:r>
        <w:rPr>
          <w:rFonts w:ascii="SimSun" w:hAnsi="SimSun" w:eastAsia="SimSun" w:cs="SimSun"/>
          <w:sz w:val="21"/>
          <w:szCs w:val="21"/>
          <w:spacing w:val="-2"/>
        </w:rPr>
        <w:t>管理，确保其可检索、可追溯和可验证。</w:t>
      </w:r>
    </w:p>
    <w:p>
      <w:pPr>
        <w:ind w:left="5"/>
        <w:spacing w:before="159" w:line="233" w:lineRule="auto"/>
        <w:outlineLvl w:val="1"/>
        <w:rPr>
          <w:rFonts w:ascii="SimHei" w:hAnsi="SimHei" w:eastAsia="SimHei" w:cs="SimHei"/>
          <w:sz w:val="21"/>
          <w:szCs w:val="21"/>
        </w:rPr>
      </w:pPr>
      <w:bookmarkStart w:name="bookmark29" w:id="33"/>
      <w:bookmarkEnd w:id="33"/>
      <w:r>
        <w:rPr>
          <w:rFonts w:ascii="Times New Roman" w:hAnsi="Times New Roman" w:eastAsia="Times New Roman" w:cs="Times New Roman"/>
          <w:sz w:val="21"/>
          <w:szCs w:val="21"/>
          <w:spacing w:val="-1"/>
        </w:rPr>
        <w:t>8.4 </w:t>
      </w:r>
      <w:r>
        <w:rPr>
          <w:rFonts w:ascii="SimHei" w:hAnsi="SimHei" w:eastAsia="SimHei" w:cs="SimHei"/>
          <w:sz w:val="21"/>
          <w:szCs w:val="21"/>
          <w:spacing w:val="-1"/>
        </w:rPr>
        <w:t>追溯系统的运行与维护</w:t>
      </w:r>
    </w:p>
    <w:p>
      <w:pPr>
        <w:ind w:left="17" w:right="182" w:firstLine="406"/>
        <w:spacing w:before="167" w:line="359" w:lineRule="auto"/>
        <w:rPr>
          <w:rFonts w:ascii="SimSun" w:hAnsi="SimSun" w:eastAsia="SimSun" w:cs="SimSun"/>
          <w:sz w:val="21"/>
          <w:szCs w:val="21"/>
        </w:rPr>
      </w:pPr>
      <w:r>
        <w:rPr>
          <w:rFonts w:ascii="SimSun" w:hAnsi="SimSun" w:eastAsia="SimSun" w:cs="SimSun"/>
          <w:sz w:val="21"/>
          <w:szCs w:val="21"/>
          <w:spacing w:val="2"/>
        </w:rPr>
        <w:t>组织应建立并运行满足可追溯管理需要的追溯系统。追溯系统可包括产品追溯系统、追溯服务平</w:t>
      </w:r>
      <w:r>
        <w:rPr>
          <w:rFonts w:ascii="SimSun" w:hAnsi="SimSun" w:eastAsia="SimSun" w:cs="SimSun"/>
          <w:sz w:val="21"/>
          <w:szCs w:val="21"/>
        </w:rPr>
        <w:t>台和追溯管理平台，可以在一个系统或平台中实现，</w:t>
      </w:r>
      <w:r>
        <w:rPr>
          <w:rFonts w:ascii="SimSun" w:hAnsi="SimSun" w:eastAsia="SimSun" w:cs="SimSun"/>
          <w:sz w:val="21"/>
          <w:szCs w:val="21"/>
          <w:spacing w:val="-1"/>
        </w:rPr>
        <w:t>也可以分布在不同的系统或平台中实现。</w:t>
      </w:r>
    </w:p>
    <w:p>
      <w:pPr>
        <w:ind w:right="182" w:firstLine="422"/>
        <w:spacing w:before="1" w:line="359" w:lineRule="auto"/>
        <w:rPr>
          <w:rFonts w:ascii="SimSun" w:hAnsi="SimSun" w:eastAsia="SimSun" w:cs="SimSun"/>
          <w:sz w:val="21"/>
          <w:szCs w:val="21"/>
        </w:rPr>
      </w:pPr>
      <w:r>
        <w:rPr>
          <w:rFonts w:ascii="SimSun" w:hAnsi="SimSun" w:eastAsia="SimSun" w:cs="SimSun"/>
          <w:sz w:val="21"/>
          <w:szCs w:val="21"/>
          <w:spacing w:val="2"/>
        </w:rPr>
        <w:t>组织应对追溯数据采集、传输、审核、分类存储进行管理，可包括数据传输、数据清洗、数据统</w:t>
      </w:r>
      <w:r>
        <w:rPr>
          <w:rFonts w:ascii="SimSun" w:hAnsi="SimSun" w:eastAsia="SimSun" w:cs="SimSun"/>
          <w:sz w:val="21"/>
          <w:szCs w:val="21"/>
          <w:spacing w:val="-1"/>
        </w:rPr>
        <w:t>计、数据分析、召回管理、信息发布等功能。</w:t>
      </w:r>
    </w:p>
    <w:p>
      <w:pPr>
        <w:ind w:left="423"/>
        <w:spacing w:before="1" w:line="220" w:lineRule="auto"/>
        <w:rPr>
          <w:rFonts w:ascii="SimSun" w:hAnsi="SimSun" w:eastAsia="SimSun" w:cs="SimSun"/>
          <w:sz w:val="21"/>
          <w:szCs w:val="21"/>
        </w:rPr>
      </w:pPr>
      <w:r>
        <w:rPr>
          <w:rFonts w:ascii="SimSun" w:hAnsi="SimSun" w:eastAsia="SimSun" w:cs="SimSun"/>
          <w:sz w:val="21"/>
          <w:szCs w:val="21"/>
          <w:spacing w:val="-2"/>
        </w:rPr>
        <w:t>组织应确保追溯数据的存储安全，包括：</w:t>
      </w:r>
    </w:p>
    <w:p>
      <w:pPr>
        <w:ind w:left="410"/>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采用电子信息手段存储，并建立数据库数据备份和应用程序数据备份机制；</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数据存储时限符合相关法规要求；</w:t>
      </w:r>
    </w:p>
    <w:p>
      <w:pPr>
        <w:ind w:left="410"/>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实现数据防篡改、完整性保护和有效性验证功能，防止数据泄露；</w:t>
      </w:r>
    </w:p>
    <w:p>
      <w:pPr>
        <w:ind w:left="410"/>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采用权限管理，确保不同用户对不同数据具有相应的访问权限。</w:t>
      </w:r>
    </w:p>
    <w:p>
      <w:pPr>
        <w:spacing w:line="220" w:lineRule="auto"/>
        <w:sectPr>
          <w:headerReference w:type="default" r:id="rId20"/>
          <w:footerReference w:type="default" r:id="rId21"/>
          <w:pgSz w:w="11907" w:h="16839"/>
          <w:pgMar w:top="1028" w:right="960" w:bottom="880" w:left="1423" w:header="703" w:footer="680" w:gutter="0"/>
        </w:sectPr>
        <w:rPr>
          <w:rFonts w:ascii="SimSun" w:hAnsi="SimSun" w:eastAsia="SimSun" w:cs="SimSun"/>
          <w:sz w:val="21"/>
          <w:szCs w:val="21"/>
        </w:rPr>
      </w:pPr>
    </w:p>
    <w:p>
      <w:pPr>
        <w:ind w:left="1" w:right="8" w:firstLine="422"/>
        <w:spacing w:before="133" w:line="363" w:lineRule="auto"/>
        <w:rPr>
          <w:rFonts w:ascii="SimSun" w:hAnsi="SimSun" w:eastAsia="SimSun" w:cs="SimSun"/>
          <w:sz w:val="21"/>
          <w:szCs w:val="21"/>
        </w:rPr>
      </w:pPr>
      <w:r>
        <w:rPr>
          <w:rFonts w:ascii="SimSun" w:hAnsi="SimSun" w:eastAsia="SimSun" w:cs="SimSun"/>
          <w:sz w:val="21"/>
          <w:szCs w:val="21"/>
          <w:spacing w:val="2"/>
        </w:rPr>
        <w:t>组织应确保追溯系统与其他系统、平台之间的数据交换安全、有效，数据交换接口应提供接入验</w:t>
      </w:r>
      <w:r>
        <w:rPr>
          <w:rFonts w:ascii="SimSun" w:hAnsi="SimSun" w:eastAsia="SimSun" w:cs="SimSun"/>
          <w:sz w:val="21"/>
          <w:szCs w:val="21"/>
          <w:spacing w:val="-1"/>
        </w:rPr>
        <w:t>证机制，并应提供数据传输过程中的隐私保护和防篡改功能。</w:t>
      </w:r>
    </w:p>
    <w:p>
      <w:pPr>
        <w:ind w:left="6"/>
        <w:spacing w:before="156" w:line="233" w:lineRule="auto"/>
        <w:outlineLvl w:val="1"/>
        <w:rPr>
          <w:rFonts w:ascii="SimHei" w:hAnsi="SimHei" w:eastAsia="SimHei" w:cs="SimHei"/>
          <w:sz w:val="21"/>
          <w:szCs w:val="21"/>
        </w:rPr>
      </w:pPr>
      <w:bookmarkStart w:name="bookmark30" w:id="34"/>
      <w:bookmarkEnd w:id="34"/>
      <w:r>
        <w:rPr>
          <w:rFonts w:ascii="Times New Roman" w:hAnsi="Times New Roman" w:eastAsia="Times New Roman" w:cs="Times New Roman"/>
          <w:sz w:val="21"/>
          <w:szCs w:val="21"/>
          <w:spacing w:val="-2"/>
        </w:rPr>
        <w:t>8.5 </w:t>
      </w:r>
      <w:r>
        <w:rPr>
          <w:rFonts w:ascii="SimHei" w:hAnsi="SimHei" w:eastAsia="SimHei" w:cs="SimHei"/>
          <w:sz w:val="21"/>
          <w:szCs w:val="21"/>
          <w:spacing w:val="-2"/>
        </w:rPr>
        <w:t>追溯演练</w:t>
      </w:r>
    </w:p>
    <w:p>
      <w:pPr>
        <w:ind w:left="424"/>
        <w:spacing w:before="164" w:line="221" w:lineRule="auto"/>
        <w:rPr>
          <w:rFonts w:ascii="SimSun" w:hAnsi="SimSun" w:eastAsia="SimSun" w:cs="SimSun"/>
          <w:sz w:val="21"/>
          <w:szCs w:val="21"/>
        </w:rPr>
      </w:pPr>
      <w:r>
        <w:rPr>
          <w:rFonts w:ascii="SimSun" w:hAnsi="SimSun" w:eastAsia="SimSun" w:cs="SimSun"/>
          <w:sz w:val="21"/>
          <w:szCs w:val="21"/>
        </w:rPr>
        <w:t>组织应按照规定的间隔实施追溯演练，以保证追溯体系有效运转并</w:t>
      </w:r>
      <w:r>
        <w:rPr>
          <w:rFonts w:ascii="SimSun" w:hAnsi="SimSun" w:eastAsia="SimSun" w:cs="SimSun"/>
          <w:sz w:val="21"/>
          <w:szCs w:val="21"/>
          <w:spacing w:val="-1"/>
        </w:rPr>
        <w:t>发现问题。</w:t>
      </w:r>
    </w:p>
    <w:p>
      <w:pPr>
        <w:ind w:left="421"/>
        <w:spacing w:before="159" w:line="221" w:lineRule="auto"/>
        <w:rPr>
          <w:rFonts w:ascii="SimSun" w:hAnsi="SimSun" w:eastAsia="SimSun" w:cs="SimSun"/>
          <w:sz w:val="21"/>
          <w:szCs w:val="21"/>
        </w:rPr>
      </w:pPr>
      <w:r>
        <w:rPr>
          <w:rFonts w:ascii="SimSun" w:hAnsi="SimSun" w:eastAsia="SimSun" w:cs="SimSun"/>
          <w:sz w:val="21"/>
          <w:szCs w:val="21"/>
          <w:spacing w:val="-1"/>
        </w:rPr>
        <w:t>追溯演练应包括：</w:t>
      </w:r>
    </w:p>
    <w:p>
      <w:pPr>
        <w:ind w:left="411"/>
        <w:spacing w:before="156"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模拟追溯：对某一追溯单元或批次实施模拟追溯，检验追溯链的完整性和追溯效率；</w:t>
      </w:r>
    </w:p>
    <w:p>
      <w:pPr>
        <w:ind w:left="411"/>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验证追溯信息：检验追溯信息的准确性、完整性和可获取性；</w:t>
      </w:r>
    </w:p>
    <w:p>
      <w:pPr>
        <w:ind w:left="411"/>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记录演练结果：记录演练过程、发现的问题和采取的改进措施。</w:t>
      </w:r>
    </w:p>
    <w:p>
      <w:pPr>
        <w:ind w:left="424"/>
        <w:spacing w:before="160" w:line="221" w:lineRule="auto"/>
        <w:rPr>
          <w:rFonts w:ascii="SimSun" w:hAnsi="SimSun" w:eastAsia="SimSun" w:cs="SimSun"/>
          <w:sz w:val="21"/>
          <w:szCs w:val="21"/>
        </w:rPr>
      </w:pPr>
      <w:r>
        <w:rPr>
          <w:rFonts w:ascii="SimSun" w:hAnsi="SimSun" w:eastAsia="SimSun" w:cs="SimSun"/>
          <w:sz w:val="21"/>
          <w:szCs w:val="21"/>
          <w:spacing w:val="-1"/>
        </w:rPr>
        <w:t>组织应保持追溯演练计划和演练结果的成文信息。</w:t>
      </w:r>
    </w:p>
    <w:p>
      <w:pPr>
        <w:pStyle w:val="BodyText"/>
        <w:spacing w:line="250" w:lineRule="auto"/>
        <w:rPr/>
      </w:pPr>
      <w:r/>
    </w:p>
    <w:p>
      <w:pPr>
        <w:ind w:left="6"/>
        <w:spacing w:before="69" w:line="235" w:lineRule="auto"/>
        <w:outlineLvl w:val="1"/>
        <w:rPr>
          <w:rFonts w:ascii="SimHei" w:hAnsi="SimHei" w:eastAsia="SimHei" w:cs="SimHei"/>
          <w:sz w:val="21"/>
          <w:szCs w:val="21"/>
        </w:rPr>
      </w:pPr>
      <w:bookmarkStart w:name="bookmark31" w:id="35"/>
      <w:bookmarkEnd w:id="35"/>
      <w:r>
        <w:rPr>
          <w:rFonts w:ascii="Times New Roman" w:hAnsi="Times New Roman" w:eastAsia="Times New Roman" w:cs="Times New Roman"/>
          <w:sz w:val="21"/>
          <w:szCs w:val="21"/>
          <w:spacing w:val="-3"/>
        </w:rPr>
        <w:t>8.6</w:t>
      </w:r>
      <w:r>
        <w:rPr>
          <w:rFonts w:ascii="Times New Roman" w:hAnsi="Times New Roman" w:eastAsia="Times New Roman" w:cs="Times New Roman"/>
          <w:sz w:val="21"/>
          <w:szCs w:val="21"/>
          <w:spacing w:val="11"/>
        </w:rPr>
        <w:t xml:space="preserve"> </w:t>
      </w:r>
      <w:r>
        <w:rPr>
          <w:rFonts w:ascii="SimHei" w:hAnsi="SimHei" w:eastAsia="SimHei" w:cs="SimHei"/>
          <w:sz w:val="21"/>
          <w:szCs w:val="21"/>
          <w:spacing w:val="-3"/>
        </w:rPr>
        <w:t>召回管理</w:t>
      </w:r>
    </w:p>
    <w:p>
      <w:pPr>
        <w:ind w:right="8" w:firstLine="424"/>
        <w:spacing w:before="162" w:line="360" w:lineRule="auto"/>
        <w:rPr>
          <w:rFonts w:ascii="SimSun" w:hAnsi="SimSun" w:eastAsia="SimSun" w:cs="SimSun"/>
          <w:sz w:val="21"/>
          <w:szCs w:val="21"/>
        </w:rPr>
      </w:pPr>
      <w:r>
        <w:rPr>
          <w:rFonts w:ascii="SimSun" w:hAnsi="SimSun" w:eastAsia="SimSun" w:cs="SimSun"/>
          <w:sz w:val="21"/>
          <w:szCs w:val="21"/>
          <w:spacing w:val="2"/>
        </w:rPr>
        <w:t>组织应建立并实施产品召回管理过程，以确保在发生质量、安全或合规问题时能够快速、准确地</w:t>
      </w:r>
      <w:r>
        <w:rPr>
          <w:rFonts w:ascii="SimSun" w:hAnsi="SimSun" w:eastAsia="SimSun" w:cs="SimSun"/>
          <w:sz w:val="21"/>
          <w:szCs w:val="21"/>
          <w:spacing w:val="-1"/>
        </w:rPr>
        <w:t>进行追溯和处置。</w:t>
      </w:r>
    </w:p>
    <w:p>
      <w:pPr>
        <w:ind w:left="429"/>
        <w:spacing w:line="220" w:lineRule="auto"/>
        <w:rPr>
          <w:rFonts w:ascii="SimSun" w:hAnsi="SimSun" w:eastAsia="SimSun" w:cs="SimSun"/>
          <w:sz w:val="21"/>
          <w:szCs w:val="21"/>
        </w:rPr>
      </w:pPr>
      <w:r>
        <w:rPr>
          <w:rFonts w:ascii="SimSun" w:hAnsi="SimSun" w:eastAsia="SimSun" w:cs="SimSun"/>
          <w:sz w:val="21"/>
          <w:szCs w:val="21"/>
          <w:spacing w:val="-2"/>
        </w:rPr>
        <w:t>召回管理应包括：</w:t>
      </w:r>
    </w:p>
    <w:p>
      <w:pPr>
        <w:ind w:left="411"/>
        <w:spacing w:before="158"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规定触发召回的准则和启动程序；</w:t>
      </w:r>
    </w:p>
    <w:p>
      <w:pPr>
        <w:ind w:left="411"/>
        <w:spacing w:before="155"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通过追溯系统快速定位涉及产品及其流向；</w:t>
      </w:r>
    </w:p>
    <w:p>
      <w:pPr>
        <w:ind w:left="411"/>
        <w:spacing w:before="158"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按照相关法规要求实施召回并向相关方报告；</w:t>
      </w:r>
    </w:p>
    <w:p>
      <w:pPr>
        <w:ind w:left="411"/>
        <w:spacing w:before="161"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评估召回效果并采取纠正措施，防止类似问题再次发生。</w:t>
      </w:r>
    </w:p>
    <w:p>
      <w:pPr>
        <w:ind w:left="424"/>
        <w:spacing w:before="159" w:line="221" w:lineRule="auto"/>
        <w:rPr>
          <w:rFonts w:ascii="SimSun" w:hAnsi="SimSun" w:eastAsia="SimSun" w:cs="SimSun"/>
          <w:sz w:val="21"/>
          <w:szCs w:val="21"/>
        </w:rPr>
      </w:pPr>
      <w:r>
        <w:rPr>
          <w:rFonts w:ascii="SimSun" w:hAnsi="SimSun" w:eastAsia="SimSun" w:cs="SimSun"/>
          <w:sz w:val="21"/>
          <w:szCs w:val="21"/>
          <w:spacing w:val="-1"/>
        </w:rPr>
        <w:t>组织应保持召回管理相关记录的成文信息。</w:t>
      </w:r>
    </w:p>
    <w:p>
      <w:pPr>
        <w:pStyle w:val="BodyText"/>
        <w:spacing w:line="250" w:lineRule="auto"/>
        <w:rPr/>
      </w:pPr>
      <w:r/>
    </w:p>
    <w:p>
      <w:pPr>
        <w:ind w:left="6"/>
        <w:spacing w:before="68" w:line="234" w:lineRule="auto"/>
        <w:outlineLvl w:val="1"/>
        <w:rPr>
          <w:rFonts w:ascii="SimHei" w:hAnsi="SimHei" w:eastAsia="SimHei" w:cs="SimHei"/>
          <w:sz w:val="21"/>
          <w:szCs w:val="21"/>
        </w:rPr>
      </w:pPr>
      <w:bookmarkStart w:name="bookmark32" w:id="36"/>
      <w:bookmarkEnd w:id="36"/>
      <w:r>
        <w:rPr>
          <w:rFonts w:ascii="Times New Roman" w:hAnsi="Times New Roman" w:eastAsia="Times New Roman" w:cs="Times New Roman"/>
          <w:sz w:val="21"/>
          <w:szCs w:val="21"/>
          <w:spacing w:val="-2"/>
        </w:rPr>
        <w:t>8.7 </w:t>
      </w:r>
      <w:r>
        <w:rPr>
          <w:rFonts w:ascii="SimHei" w:hAnsi="SimHei" w:eastAsia="SimHei" w:cs="SimHei"/>
          <w:sz w:val="21"/>
          <w:szCs w:val="21"/>
          <w:spacing w:val="-2"/>
        </w:rPr>
        <w:t>记录和报告</w:t>
      </w:r>
    </w:p>
    <w:p>
      <w:pPr>
        <w:ind w:right="39" w:firstLine="423"/>
        <w:spacing w:before="163" w:line="360" w:lineRule="auto"/>
        <w:rPr>
          <w:rFonts w:ascii="SimSun" w:hAnsi="SimSun" w:eastAsia="SimSun" w:cs="SimSun"/>
          <w:sz w:val="21"/>
          <w:szCs w:val="21"/>
        </w:rPr>
      </w:pPr>
      <w:r>
        <w:rPr>
          <w:rFonts w:ascii="SimSun" w:hAnsi="SimSun" w:eastAsia="SimSun" w:cs="SimSun"/>
          <w:sz w:val="21"/>
          <w:szCs w:val="21"/>
          <w:spacing w:val="2"/>
        </w:rPr>
        <w:t>组织应保存可追溯管理过程的适当记录，以确保其</w:t>
      </w:r>
      <w:r>
        <w:rPr>
          <w:rFonts w:ascii="SimSun" w:hAnsi="SimSun" w:eastAsia="SimSun" w:cs="SimSun"/>
          <w:sz w:val="21"/>
          <w:szCs w:val="21"/>
          <w:spacing w:val="1"/>
        </w:rPr>
        <w:t>可追溯、可验证，并支持有效的沟通和决策。</w:t>
      </w:r>
      <w:r>
        <w:rPr>
          <w:rFonts w:ascii="SimSun" w:hAnsi="SimSun" w:eastAsia="SimSun" w:cs="SimSun"/>
          <w:sz w:val="21"/>
          <w:szCs w:val="21"/>
          <w:spacing w:val="-2"/>
        </w:rPr>
        <w:t>记录应清晰、可检索和可追溯。</w:t>
      </w:r>
    </w:p>
    <w:p>
      <w:pPr>
        <w:ind w:left="2" w:right="39" w:firstLine="421"/>
        <w:spacing w:before="1" w:line="360" w:lineRule="auto"/>
        <w:rPr>
          <w:rFonts w:ascii="SimSun" w:hAnsi="SimSun" w:eastAsia="SimSun" w:cs="SimSun"/>
          <w:sz w:val="21"/>
          <w:szCs w:val="21"/>
        </w:rPr>
      </w:pPr>
      <w:r>
        <w:rPr>
          <w:rFonts w:ascii="SimSun" w:hAnsi="SimSun" w:eastAsia="SimSun" w:cs="SimSun"/>
          <w:sz w:val="21"/>
          <w:szCs w:val="21"/>
          <w:spacing w:val="2"/>
        </w:rPr>
        <w:t>组织应向相关方提供及时、准确、有用并适合其需</w:t>
      </w:r>
      <w:r>
        <w:rPr>
          <w:rFonts w:ascii="SimSun" w:hAnsi="SimSun" w:eastAsia="SimSun" w:cs="SimSun"/>
          <w:sz w:val="21"/>
          <w:szCs w:val="21"/>
          <w:spacing w:val="1"/>
        </w:rPr>
        <w:t>要的追溯信息报告，报告对象可包括管理层、</w:t>
      </w:r>
      <w:bookmarkStart w:name="bookmark33" w:id="37"/>
      <w:bookmarkEnd w:id="37"/>
      <w:r>
        <w:rPr>
          <w:rFonts w:ascii="SimSun" w:hAnsi="SimSun" w:eastAsia="SimSun" w:cs="SimSun"/>
          <w:sz w:val="21"/>
          <w:szCs w:val="21"/>
          <w:spacing w:val="-2"/>
        </w:rPr>
        <w:t>监管机构、顾客和消费者等。</w:t>
      </w:r>
    </w:p>
    <w:p>
      <w:pPr>
        <w:ind w:left="1"/>
        <w:spacing w:before="259" w:line="233" w:lineRule="auto"/>
        <w:outlineLvl w:val="0"/>
        <w:rPr>
          <w:rFonts w:ascii="SimHei" w:hAnsi="SimHei" w:eastAsia="SimHei" w:cs="SimHei"/>
          <w:sz w:val="21"/>
          <w:szCs w:val="21"/>
        </w:rPr>
      </w:pPr>
      <w:bookmarkStart w:name="bookmark49" w:id="38"/>
      <w:bookmarkEnd w:id="38"/>
      <w:r>
        <w:rPr>
          <w:rFonts w:ascii="Times New Roman" w:hAnsi="Times New Roman" w:eastAsia="Times New Roman" w:cs="Times New Roman"/>
          <w:sz w:val="21"/>
          <w:szCs w:val="21"/>
          <w:spacing w:val="-3"/>
        </w:rPr>
        <w:t>9</w:t>
      </w:r>
      <w:r>
        <w:rPr>
          <w:rFonts w:ascii="Times New Roman" w:hAnsi="Times New Roman" w:eastAsia="Times New Roman" w:cs="Times New Roman"/>
          <w:sz w:val="21"/>
          <w:szCs w:val="21"/>
          <w:spacing w:val="9"/>
        </w:rPr>
        <w:t xml:space="preserve"> </w:t>
      </w:r>
      <w:r>
        <w:rPr>
          <w:rFonts w:ascii="SimHei" w:hAnsi="SimHei" w:eastAsia="SimHei" w:cs="SimHei"/>
          <w:sz w:val="21"/>
          <w:szCs w:val="21"/>
          <w:spacing w:val="-3"/>
        </w:rPr>
        <w:t>绩效评价</w:t>
      </w:r>
    </w:p>
    <w:p>
      <w:pPr>
        <w:ind w:left="1"/>
        <w:spacing w:before="250" w:line="234" w:lineRule="auto"/>
        <w:outlineLvl w:val="1"/>
        <w:rPr>
          <w:rFonts w:ascii="SimHei" w:hAnsi="SimHei" w:eastAsia="SimHei" w:cs="SimHei"/>
          <w:sz w:val="21"/>
          <w:szCs w:val="21"/>
        </w:rPr>
      </w:pPr>
      <w:bookmarkStart w:name="bookmark34" w:id="39"/>
      <w:bookmarkEnd w:id="39"/>
      <w:r>
        <w:rPr>
          <w:rFonts w:ascii="Times New Roman" w:hAnsi="Times New Roman" w:eastAsia="Times New Roman" w:cs="Times New Roman"/>
          <w:sz w:val="21"/>
          <w:szCs w:val="21"/>
          <w:spacing w:val="-1"/>
        </w:rPr>
        <w:t>9.1 </w:t>
      </w:r>
      <w:r>
        <w:rPr>
          <w:rFonts w:ascii="SimHei" w:hAnsi="SimHei" w:eastAsia="SimHei" w:cs="SimHei"/>
          <w:sz w:val="21"/>
          <w:szCs w:val="21"/>
          <w:spacing w:val="-1"/>
        </w:rPr>
        <w:t>监视、测量、分析和评价</w:t>
      </w:r>
    </w:p>
    <w:p>
      <w:pPr>
        <w:ind w:left="424"/>
        <w:spacing w:before="167" w:line="221" w:lineRule="auto"/>
        <w:rPr>
          <w:rFonts w:ascii="SimSun" w:hAnsi="SimSun" w:eastAsia="SimSun" w:cs="SimSun"/>
          <w:sz w:val="21"/>
          <w:szCs w:val="21"/>
        </w:rPr>
      </w:pPr>
      <w:r>
        <w:rPr>
          <w:rFonts w:ascii="SimSun" w:hAnsi="SimSun" w:eastAsia="SimSun" w:cs="SimSun"/>
          <w:sz w:val="21"/>
          <w:szCs w:val="21"/>
          <w:spacing w:val="-2"/>
        </w:rPr>
        <w:t>组织应确定：</w:t>
      </w:r>
    </w:p>
    <w:p>
      <w:pPr>
        <w:ind w:left="411"/>
        <w:spacing w:before="155" w:line="221" w:lineRule="auto"/>
        <w:rPr>
          <w:rFonts w:ascii="SimSun" w:hAnsi="SimSun" w:eastAsia="SimSun" w:cs="SimSun"/>
          <w:sz w:val="21"/>
          <w:szCs w:val="21"/>
        </w:rPr>
      </w:pPr>
      <w:r>
        <w:rPr>
          <w:rFonts w:ascii="Times New Roman" w:hAnsi="Times New Roman" w:eastAsia="Times New Roman" w:cs="Times New Roman"/>
          <w:sz w:val="21"/>
          <w:szCs w:val="21"/>
          <w:spacing w:val="-3"/>
        </w:rPr>
        <w:t>——</w:t>
      </w:r>
      <w:r>
        <w:rPr>
          <w:rFonts w:ascii="Times New Roman" w:hAnsi="Times New Roman" w:eastAsia="Times New Roman" w:cs="Times New Roman"/>
          <w:sz w:val="21"/>
          <w:szCs w:val="21"/>
          <w:spacing w:val="16"/>
        </w:rPr>
        <w:t xml:space="preserve"> </w:t>
      </w:r>
      <w:r>
        <w:rPr>
          <w:rFonts w:ascii="SimSun" w:hAnsi="SimSun" w:eastAsia="SimSun" w:cs="SimSun"/>
          <w:sz w:val="21"/>
          <w:szCs w:val="21"/>
          <w:spacing w:val="-3"/>
        </w:rPr>
        <w:t>需要监视和测量的内容；</w:t>
      </w:r>
    </w:p>
    <w:p>
      <w:pPr>
        <w:ind w:left="411"/>
        <w:spacing w:before="158"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适用的监视、测量、分析和评价方法，以确保结果有效；</w:t>
      </w:r>
    </w:p>
    <w:p>
      <w:pPr>
        <w:ind w:left="411"/>
        <w:spacing w:before="158"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实施监视和测量的时机；</w:t>
      </w:r>
    </w:p>
    <w:p>
      <w:pPr>
        <w:ind w:left="411"/>
        <w:spacing w:before="161" w:line="219"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分析和评价监视和测量结果的时机。</w:t>
      </w:r>
    </w:p>
    <w:p>
      <w:pPr>
        <w:ind w:left="3" w:right="7" w:firstLine="420"/>
        <w:spacing w:before="158" w:line="359" w:lineRule="auto"/>
        <w:rPr>
          <w:rFonts w:ascii="SimSun" w:hAnsi="SimSun" w:eastAsia="SimSun" w:cs="SimSun"/>
          <w:sz w:val="21"/>
          <w:szCs w:val="21"/>
        </w:rPr>
      </w:pPr>
      <w:r>
        <w:rPr>
          <w:rFonts w:ascii="SimSun" w:hAnsi="SimSun" w:eastAsia="SimSun" w:cs="SimSun"/>
          <w:sz w:val="21"/>
          <w:szCs w:val="21"/>
          <w:spacing w:val="2"/>
        </w:rPr>
        <w:t>组织应评价可追溯管理体系的绩效和有效性，可包括追溯目标的实现程度、追溯信息记录的及时</w:t>
      </w:r>
      <w:r>
        <w:rPr>
          <w:rFonts w:ascii="SimSun" w:hAnsi="SimSun" w:eastAsia="SimSun" w:cs="SimSun"/>
          <w:sz w:val="21"/>
          <w:szCs w:val="21"/>
          <w:spacing w:val="-1"/>
        </w:rPr>
        <w:t>率和准确率、追溯演练结果、召回处置的及时性和有效性等。</w:t>
      </w:r>
    </w:p>
    <w:p>
      <w:pPr>
        <w:ind w:left="424"/>
        <w:spacing w:before="1" w:line="220" w:lineRule="auto"/>
        <w:rPr>
          <w:rFonts w:ascii="SimSun" w:hAnsi="SimSun" w:eastAsia="SimSun" w:cs="SimSun"/>
          <w:sz w:val="21"/>
          <w:szCs w:val="21"/>
        </w:rPr>
      </w:pPr>
      <w:r>
        <w:rPr>
          <w:rFonts w:ascii="SimSun" w:hAnsi="SimSun" w:eastAsia="SimSun" w:cs="SimSun"/>
          <w:sz w:val="21"/>
          <w:szCs w:val="21"/>
          <w:spacing w:val="-1"/>
        </w:rPr>
        <w:t>组织应保留适当的成文信息作为证据。</w:t>
      </w:r>
    </w:p>
    <w:p>
      <w:pPr>
        <w:spacing w:line="220" w:lineRule="auto"/>
        <w:sectPr>
          <w:headerReference w:type="default" r:id="rId22"/>
          <w:footerReference w:type="default" r:id="rId23"/>
          <w:pgSz w:w="11907" w:h="16839"/>
          <w:pgMar w:top="1028" w:right="1134" w:bottom="880" w:left="1423" w:header="703" w:footer="680" w:gutter="0"/>
        </w:sectPr>
        <w:rPr>
          <w:rFonts w:ascii="SimSun" w:hAnsi="SimSun" w:eastAsia="SimSun" w:cs="SimSun"/>
          <w:sz w:val="21"/>
          <w:szCs w:val="21"/>
        </w:rPr>
      </w:pPr>
    </w:p>
    <w:p>
      <w:pPr>
        <w:spacing w:before="139" w:line="234" w:lineRule="auto"/>
        <w:outlineLvl w:val="1"/>
        <w:rPr>
          <w:rFonts w:ascii="SimHei" w:hAnsi="SimHei" w:eastAsia="SimHei" w:cs="SimHei"/>
          <w:sz w:val="21"/>
          <w:szCs w:val="21"/>
        </w:rPr>
      </w:pPr>
      <w:bookmarkStart w:name="bookmark35" w:id="40"/>
      <w:bookmarkEnd w:id="40"/>
      <w:r>
        <w:rPr>
          <w:rFonts w:ascii="Times New Roman" w:hAnsi="Times New Roman" w:eastAsia="Times New Roman" w:cs="Times New Roman"/>
          <w:sz w:val="21"/>
          <w:szCs w:val="21"/>
          <w:spacing w:val="-4"/>
        </w:rPr>
        <w:t>9.2</w:t>
      </w:r>
      <w:r>
        <w:rPr>
          <w:rFonts w:ascii="Times New Roman" w:hAnsi="Times New Roman" w:eastAsia="Times New Roman" w:cs="Times New Roman"/>
          <w:sz w:val="21"/>
          <w:szCs w:val="21"/>
          <w:spacing w:val="21"/>
          <w:w w:val="101"/>
        </w:rPr>
        <w:t xml:space="preserve"> </w:t>
      </w:r>
      <w:r>
        <w:rPr>
          <w:rFonts w:ascii="SimHei" w:hAnsi="SimHei" w:eastAsia="SimHei" w:cs="SimHei"/>
          <w:sz w:val="21"/>
          <w:szCs w:val="21"/>
          <w:spacing w:val="-4"/>
        </w:rPr>
        <w:t>内部审核</w:t>
      </w:r>
    </w:p>
    <w:p>
      <w:pPr>
        <w:ind w:right="190" w:firstLine="421"/>
        <w:spacing w:before="162" w:line="360" w:lineRule="auto"/>
        <w:rPr>
          <w:rFonts w:ascii="SimSun" w:hAnsi="SimSun" w:eastAsia="SimSun" w:cs="SimSun"/>
          <w:sz w:val="21"/>
          <w:szCs w:val="21"/>
        </w:rPr>
      </w:pPr>
      <w:r>
        <w:rPr>
          <w:rFonts w:ascii="SimSun" w:hAnsi="SimSun" w:eastAsia="SimSun" w:cs="SimSun"/>
          <w:sz w:val="21"/>
          <w:szCs w:val="21"/>
          <w:spacing w:val="2"/>
        </w:rPr>
        <w:t>组织应按策划的时间间隔进行内部审核，以提供可追溯管理体系是否符合本文件要求、是否得到</w:t>
      </w:r>
      <w:r>
        <w:rPr>
          <w:rFonts w:ascii="SimSun" w:hAnsi="SimSun" w:eastAsia="SimSun" w:cs="SimSun"/>
          <w:sz w:val="21"/>
          <w:szCs w:val="21"/>
          <w:spacing w:val="-2"/>
        </w:rPr>
        <w:t>有效实施和保持的信息。</w:t>
      </w:r>
    </w:p>
    <w:p>
      <w:pPr>
        <w:ind w:left="422"/>
        <w:spacing w:line="222" w:lineRule="auto"/>
        <w:rPr>
          <w:rFonts w:ascii="SimSun" w:hAnsi="SimSun" w:eastAsia="SimSun" w:cs="SimSun"/>
          <w:sz w:val="21"/>
          <w:szCs w:val="21"/>
        </w:rPr>
      </w:pPr>
      <w:r>
        <w:rPr>
          <w:rFonts w:ascii="SimSun" w:hAnsi="SimSun" w:eastAsia="SimSun" w:cs="SimSun"/>
          <w:sz w:val="21"/>
          <w:szCs w:val="21"/>
          <w:spacing w:val="-2"/>
        </w:rPr>
        <w:t>组织应：</w:t>
      </w:r>
    </w:p>
    <w:p>
      <w:pPr>
        <w:ind w:left="423" w:hanging="14"/>
        <w:spacing w:before="153" w:line="359" w:lineRule="auto"/>
        <w:rPr>
          <w:rFonts w:ascii="SimSun" w:hAnsi="SimSun" w:eastAsia="SimSun" w:cs="SimSun"/>
          <w:sz w:val="21"/>
          <w:szCs w:val="21"/>
        </w:rPr>
      </w:pPr>
      <w:r>
        <w:rPr>
          <w:rFonts w:ascii="Times New Roman" w:hAnsi="Times New Roman" w:eastAsia="Times New Roman" w:cs="Times New Roman"/>
          <w:sz w:val="21"/>
          <w:szCs w:val="21"/>
        </w:rPr>
        <w:t>——</w:t>
      </w:r>
      <w:r>
        <w:rPr>
          <w:rFonts w:ascii="Times New Roman" w:hAnsi="Times New Roman" w:eastAsia="Times New Roman" w:cs="Times New Roman"/>
          <w:sz w:val="21"/>
          <w:szCs w:val="21"/>
          <w:spacing w:val="40"/>
        </w:rPr>
        <w:t xml:space="preserve"> </w:t>
      </w:r>
      <w:r>
        <w:rPr>
          <w:rFonts w:ascii="SimSun" w:hAnsi="SimSun" w:eastAsia="SimSun" w:cs="SimSun"/>
          <w:sz w:val="21"/>
          <w:szCs w:val="21"/>
        </w:rPr>
        <w:t>依据追溯过程的重要性和以往审核结果，策划、建立、实施和保持审核方案，包括审</w:t>
      </w:r>
      <w:r>
        <w:rPr>
          <w:rFonts w:ascii="SimSun" w:hAnsi="SimSun" w:eastAsia="SimSun" w:cs="SimSun"/>
          <w:sz w:val="21"/>
          <w:szCs w:val="21"/>
          <w:spacing w:val="-1"/>
        </w:rPr>
        <w:t>核准则、</w:t>
      </w:r>
      <w:r>
        <w:rPr>
          <w:rFonts w:ascii="SimSun" w:hAnsi="SimSun" w:eastAsia="SimSun" w:cs="SimSun"/>
          <w:sz w:val="21"/>
          <w:szCs w:val="21"/>
          <w:spacing w:val="-4"/>
        </w:rPr>
        <w:t>范围、频次和方法；</w:t>
      </w:r>
    </w:p>
    <w:p>
      <w:pPr>
        <w:ind w:left="409"/>
        <w:spacing w:before="1"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规定每次审核的准则和范围；</w:t>
      </w:r>
    </w:p>
    <w:p>
      <w:pPr>
        <w:ind w:left="409"/>
        <w:spacing w:before="159"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选择能确保审核过程客观、公正的审核员并实施审核；</w:t>
      </w:r>
    </w:p>
    <w:p>
      <w:pPr>
        <w:ind w:left="409"/>
        <w:spacing w:before="157" w:line="219"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确保将审核结果报告给相关管理者；</w:t>
      </w:r>
    </w:p>
    <w:p>
      <w:pPr>
        <w:ind w:left="409"/>
        <w:spacing w:before="159"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及时采取适当的纠正和纠正措施；</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保留作为审核方案实施和审核结果证据的成文信息。</w:t>
      </w:r>
    </w:p>
    <w:p>
      <w:pPr>
        <w:pStyle w:val="BodyText"/>
        <w:spacing w:line="252" w:lineRule="auto"/>
        <w:rPr/>
      </w:pPr>
      <w:r/>
    </w:p>
    <w:p>
      <w:pPr>
        <w:spacing w:before="69" w:line="234" w:lineRule="auto"/>
        <w:outlineLvl w:val="1"/>
        <w:rPr>
          <w:rFonts w:ascii="SimHei" w:hAnsi="SimHei" w:eastAsia="SimHei" w:cs="SimHei"/>
          <w:sz w:val="21"/>
          <w:szCs w:val="21"/>
        </w:rPr>
      </w:pPr>
      <w:bookmarkStart w:name="bookmark36" w:id="41"/>
      <w:bookmarkEnd w:id="41"/>
      <w:r>
        <w:rPr>
          <w:rFonts w:ascii="Times New Roman" w:hAnsi="Times New Roman" w:eastAsia="Times New Roman" w:cs="Times New Roman"/>
          <w:sz w:val="21"/>
          <w:szCs w:val="21"/>
          <w:spacing w:val="-3"/>
        </w:rPr>
        <w:t>9.3</w:t>
      </w:r>
      <w:r>
        <w:rPr>
          <w:rFonts w:ascii="Times New Roman" w:hAnsi="Times New Roman" w:eastAsia="Times New Roman" w:cs="Times New Roman"/>
          <w:sz w:val="21"/>
          <w:szCs w:val="21"/>
          <w:spacing w:val="14"/>
          <w:w w:val="101"/>
        </w:rPr>
        <w:t xml:space="preserve"> </w:t>
      </w:r>
      <w:r>
        <w:rPr>
          <w:rFonts w:ascii="SimHei" w:hAnsi="SimHei" w:eastAsia="SimHei" w:cs="SimHei"/>
          <w:sz w:val="21"/>
          <w:szCs w:val="21"/>
          <w:spacing w:val="-3"/>
        </w:rPr>
        <w:t>管理评审</w:t>
      </w:r>
    </w:p>
    <w:p>
      <w:pPr>
        <w:ind w:right="190" w:firstLine="421"/>
        <w:spacing w:before="163" w:line="359" w:lineRule="auto"/>
        <w:rPr>
          <w:rFonts w:ascii="SimSun" w:hAnsi="SimSun" w:eastAsia="SimSun" w:cs="SimSun"/>
          <w:sz w:val="21"/>
          <w:szCs w:val="21"/>
        </w:rPr>
      </w:pPr>
      <w:r>
        <w:rPr>
          <w:rFonts w:ascii="SimSun" w:hAnsi="SimSun" w:eastAsia="SimSun" w:cs="SimSun"/>
          <w:sz w:val="21"/>
          <w:szCs w:val="21"/>
          <w:spacing w:val="2"/>
        </w:rPr>
        <w:t>最高管理者应按策划的时间间隔评审组织的可追溯管理体系，以确保其持续的适宜性、充分性和</w:t>
      </w:r>
      <w:r>
        <w:rPr>
          <w:rFonts w:ascii="SimSun" w:hAnsi="SimSun" w:eastAsia="SimSun" w:cs="SimSun"/>
          <w:sz w:val="21"/>
          <w:szCs w:val="21"/>
          <w:spacing w:val="-2"/>
        </w:rPr>
        <w:t>有效性。</w:t>
      </w:r>
    </w:p>
    <w:p>
      <w:pPr>
        <w:ind w:left="424"/>
        <w:spacing w:before="1" w:line="219" w:lineRule="auto"/>
        <w:rPr>
          <w:rFonts w:ascii="SimSun" w:hAnsi="SimSun" w:eastAsia="SimSun" w:cs="SimSun"/>
          <w:sz w:val="21"/>
          <w:szCs w:val="21"/>
        </w:rPr>
      </w:pPr>
      <w:r>
        <w:rPr>
          <w:rFonts w:ascii="SimSun" w:hAnsi="SimSun" w:eastAsia="SimSun" w:cs="SimSun"/>
          <w:sz w:val="21"/>
          <w:szCs w:val="21"/>
          <w:spacing w:val="-2"/>
        </w:rPr>
        <w:t>管理评审应考虑：</w:t>
      </w:r>
    </w:p>
    <w:p>
      <w:pPr>
        <w:ind w:left="409"/>
        <w:spacing w:before="160" w:line="221" w:lineRule="auto"/>
        <w:rPr>
          <w:rFonts w:ascii="SimSun" w:hAnsi="SimSun" w:eastAsia="SimSun" w:cs="SimSun"/>
          <w:sz w:val="21"/>
          <w:szCs w:val="21"/>
        </w:rPr>
      </w:pPr>
      <w:r>
        <w:rPr>
          <w:rFonts w:ascii="Times New Roman" w:hAnsi="Times New Roman" w:eastAsia="Times New Roman" w:cs="Times New Roman"/>
          <w:sz w:val="21"/>
          <w:szCs w:val="21"/>
          <w:spacing w:val="-4"/>
        </w:rPr>
        <w:t>——</w:t>
      </w:r>
      <w:r>
        <w:rPr>
          <w:rFonts w:ascii="Times New Roman" w:hAnsi="Times New Roman" w:eastAsia="Times New Roman" w:cs="Times New Roman"/>
          <w:sz w:val="21"/>
          <w:szCs w:val="21"/>
          <w:spacing w:val="42"/>
          <w:w w:val="101"/>
        </w:rPr>
        <w:t xml:space="preserve"> </w:t>
      </w:r>
      <w:r>
        <w:rPr>
          <w:rFonts w:ascii="SimSun" w:hAnsi="SimSun" w:eastAsia="SimSun" w:cs="SimSun"/>
          <w:sz w:val="21"/>
          <w:szCs w:val="21"/>
          <w:spacing w:val="-4"/>
        </w:rPr>
        <w:t>以往管理评审措施的实施情况；</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与可追溯管理体系有关的内外部因素的变化；</w:t>
      </w:r>
    </w:p>
    <w:p>
      <w:pPr>
        <w:ind w:left="427" w:right="270" w:hanging="18"/>
        <w:spacing w:before="157" w:line="36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有关可追溯管理体系绩效的信息，包括追溯目标实现程度、追溯信息质量、追溯演练结果、</w:t>
      </w:r>
      <w:r>
        <w:rPr>
          <w:rFonts w:ascii="SimSun" w:hAnsi="SimSun" w:eastAsia="SimSun" w:cs="SimSun"/>
          <w:sz w:val="21"/>
          <w:szCs w:val="21"/>
          <w:spacing w:val="-1"/>
        </w:rPr>
        <w:t>召回管理情况、内部审核结果等；</w:t>
      </w:r>
    </w:p>
    <w:p>
      <w:pPr>
        <w:ind w:left="409"/>
        <w:spacing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资源是否充分；</w:t>
      </w:r>
    </w:p>
    <w:p>
      <w:pPr>
        <w:ind w:left="409"/>
        <w:spacing w:before="157"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相关方的反馈；</w:t>
      </w:r>
    </w:p>
    <w:p>
      <w:pPr>
        <w:ind w:left="409"/>
        <w:spacing w:before="156" w:line="220" w:lineRule="auto"/>
        <w:rPr>
          <w:rFonts w:ascii="SimSun" w:hAnsi="SimSun" w:eastAsia="SimSun" w:cs="SimSun"/>
          <w:sz w:val="21"/>
          <w:szCs w:val="21"/>
        </w:rPr>
      </w:pPr>
      <w:r>
        <w:rPr>
          <w:rFonts w:ascii="Times New Roman" w:hAnsi="Times New Roman" w:eastAsia="Times New Roman" w:cs="Times New Roman"/>
          <w:sz w:val="21"/>
          <w:szCs w:val="21"/>
          <w:spacing w:val="-2"/>
        </w:rPr>
        <w:t>—— </w:t>
      </w:r>
      <w:r>
        <w:rPr>
          <w:rFonts w:ascii="SimSun" w:hAnsi="SimSun" w:eastAsia="SimSun" w:cs="SimSun"/>
          <w:sz w:val="21"/>
          <w:szCs w:val="21"/>
          <w:spacing w:val="-2"/>
        </w:rPr>
        <w:t>改进的机会。</w:t>
      </w:r>
    </w:p>
    <w:p>
      <w:pPr>
        <w:ind w:left="424"/>
        <w:spacing w:before="157" w:line="220" w:lineRule="auto"/>
        <w:rPr>
          <w:rFonts w:ascii="SimSun" w:hAnsi="SimSun" w:eastAsia="SimSun" w:cs="SimSun"/>
          <w:sz w:val="21"/>
          <w:szCs w:val="21"/>
        </w:rPr>
      </w:pPr>
      <w:r>
        <w:rPr>
          <w:rFonts w:ascii="SimSun" w:hAnsi="SimSun" w:eastAsia="SimSun" w:cs="SimSun"/>
          <w:sz w:val="21"/>
          <w:szCs w:val="21"/>
        </w:rPr>
        <w:t>管理评审的输出应包括与持续改进机会和可追溯管理体系所需的变更有关的</w:t>
      </w:r>
      <w:r>
        <w:rPr>
          <w:rFonts w:ascii="SimSun" w:hAnsi="SimSun" w:eastAsia="SimSun" w:cs="SimSun"/>
          <w:sz w:val="21"/>
          <w:szCs w:val="21"/>
          <w:spacing w:val="-1"/>
        </w:rPr>
        <w:t>决定和措施。</w:t>
      </w:r>
    </w:p>
    <w:p>
      <w:pPr>
        <w:ind w:left="422"/>
        <w:spacing w:before="158" w:line="221" w:lineRule="auto"/>
        <w:rPr>
          <w:rFonts w:ascii="SimSun" w:hAnsi="SimSun" w:eastAsia="SimSun" w:cs="SimSun"/>
          <w:sz w:val="21"/>
          <w:szCs w:val="21"/>
        </w:rPr>
      </w:pPr>
      <w:r>
        <w:rPr>
          <w:rFonts w:ascii="SimSun" w:hAnsi="SimSun" w:eastAsia="SimSun" w:cs="SimSun"/>
          <w:sz w:val="21"/>
          <w:szCs w:val="21"/>
          <w:spacing w:val="-1"/>
        </w:rPr>
        <w:t>组织应保留作为管理评审结果证据的成文信息。</w:t>
      </w:r>
    </w:p>
    <w:p>
      <w:pPr>
        <w:pStyle w:val="BodyText"/>
        <w:spacing w:line="351" w:lineRule="auto"/>
        <w:rPr/>
      </w:pPr>
      <w:r/>
    </w:p>
    <w:p>
      <w:pPr>
        <w:ind w:left="16"/>
        <w:spacing w:before="68" w:line="234" w:lineRule="auto"/>
        <w:outlineLvl w:val="0"/>
        <w:rPr>
          <w:rFonts w:ascii="SimHei" w:hAnsi="SimHei" w:eastAsia="SimHei" w:cs="SimHei"/>
          <w:sz w:val="21"/>
          <w:szCs w:val="21"/>
        </w:rPr>
      </w:pPr>
      <w:bookmarkStart w:name="bookmark37" w:id="42"/>
      <w:bookmarkEnd w:id="42"/>
      <w:r>
        <w:rPr>
          <w:rFonts w:ascii="Times New Roman" w:hAnsi="Times New Roman" w:eastAsia="Times New Roman" w:cs="Times New Roman"/>
          <w:sz w:val="21"/>
          <w:szCs w:val="21"/>
          <w:spacing w:val="-8"/>
        </w:rPr>
        <w:t>10</w:t>
      </w:r>
      <w:r>
        <w:rPr>
          <w:rFonts w:ascii="Times New Roman" w:hAnsi="Times New Roman" w:eastAsia="Times New Roman" w:cs="Times New Roman"/>
          <w:sz w:val="21"/>
          <w:szCs w:val="21"/>
          <w:spacing w:val="14"/>
          <w:w w:val="101"/>
        </w:rPr>
        <w:t xml:space="preserve"> </w:t>
      </w:r>
      <w:r>
        <w:rPr>
          <w:rFonts w:ascii="SimHei" w:hAnsi="SimHei" w:eastAsia="SimHei" w:cs="SimHei"/>
          <w:sz w:val="21"/>
          <w:szCs w:val="21"/>
          <w:spacing w:val="-8"/>
        </w:rPr>
        <w:t>改进</w:t>
      </w:r>
    </w:p>
    <w:p>
      <w:pPr>
        <w:ind w:left="16"/>
        <w:spacing w:before="248" w:line="234" w:lineRule="auto"/>
        <w:outlineLvl w:val="1"/>
        <w:rPr>
          <w:rFonts w:ascii="SimHei" w:hAnsi="SimHei" w:eastAsia="SimHei" w:cs="SimHei"/>
          <w:sz w:val="21"/>
          <w:szCs w:val="21"/>
        </w:rPr>
      </w:pPr>
      <w:bookmarkStart w:name="bookmark38" w:id="43"/>
      <w:bookmarkEnd w:id="43"/>
      <w:r>
        <w:rPr>
          <w:rFonts w:ascii="Times New Roman" w:hAnsi="Times New Roman" w:eastAsia="Times New Roman" w:cs="Times New Roman"/>
          <w:sz w:val="21"/>
          <w:szCs w:val="21"/>
          <w:spacing w:val="-5"/>
        </w:rPr>
        <w:t>10.1</w:t>
      </w:r>
      <w:r>
        <w:rPr>
          <w:rFonts w:ascii="Times New Roman" w:hAnsi="Times New Roman" w:eastAsia="Times New Roman" w:cs="Times New Roman"/>
          <w:sz w:val="21"/>
          <w:szCs w:val="21"/>
          <w:spacing w:val="12"/>
        </w:rPr>
        <w:t xml:space="preserve"> </w:t>
      </w:r>
      <w:r>
        <w:rPr>
          <w:rFonts w:ascii="SimHei" w:hAnsi="SimHei" w:eastAsia="SimHei" w:cs="SimHei"/>
          <w:sz w:val="21"/>
          <w:szCs w:val="21"/>
          <w:spacing w:val="-5"/>
        </w:rPr>
        <w:t>总则</w:t>
      </w:r>
    </w:p>
    <w:p>
      <w:pPr>
        <w:ind w:left="422"/>
        <w:spacing w:before="165" w:line="220" w:lineRule="auto"/>
        <w:rPr>
          <w:rFonts w:ascii="SimSun" w:hAnsi="SimSun" w:eastAsia="SimSun" w:cs="SimSun"/>
          <w:sz w:val="21"/>
          <w:szCs w:val="21"/>
        </w:rPr>
      </w:pPr>
      <w:r>
        <w:rPr>
          <w:rFonts w:ascii="SimSun" w:hAnsi="SimSun" w:eastAsia="SimSun" w:cs="SimSun"/>
          <w:sz w:val="21"/>
          <w:szCs w:val="21"/>
        </w:rPr>
        <w:t>组织应确定和选择改进机会，并采取必要措施，以提升可追溯管理体系的绩效和</w:t>
      </w:r>
      <w:r>
        <w:rPr>
          <w:rFonts w:ascii="SimSun" w:hAnsi="SimSun" w:eastAsia="SimSun" w:cs="SimSun"/>
          <w:sz w:val="21"/>
          <w:szCs w:val="21"/>
          <w:spacing w:val="-1"/>
        </w:rPr>
        <w:t>有效性。</w:t>
      </w:r>
    </w:p>
    <w:p>
      <w:pPr>
        <w:pStyle w:val="BodyText"/>
        <w:spacing w:line="251" w:lineRule="auto"/>
        <w:rPr/>
      </w:pPr>
      <w:r/>
    </w:p>
    <w:p>
      <w:pPr>
        <w:ind w:left="16"/>
        <w:spacing w:before="69" w:line="234" w:lineRule="auto"/>
        <w:outlineLvl w:val="1"/>
        <w:rPr>
          <w:rFonts w:ascii="SimHei" w:hAnsi="SimHei" w:eastAsia="SimHei" w:cs="SimHei"/>
          <w:sz w:val="21"/>
          <w:szCs w:val="21"/>
        </w:rPr>
      </w:pPr>
      <w:bookmarkStart w:name="bookmark39" w:id="44"/>
      <w:bookmarkEnd w:id="44"/>
      <w:r>
        <w:rPr>
          <w:rFonts w:ascii="Times New Roman" w:hAnsi="Times New Roman" w:eastAsia="Times New Roman" w:cs="Times New Roman"/>
          <w:sz w:val="21"/>
          <w:szCs w:val="21"/>
          <w:spacing w:val="-2"/>
        </w:rPr>
        <w:t>10.2 </w:t>
      </w:r>
      <w:r>
        <w:rPr>
          <w:rFonts w:ascii="SimHei" w:hAnsi="SimHei" w:eastAsia="SimHei" w:cs="SimHei"/>
          <w:sz w:val="21"/>
          <w:szCs w:val="21"/>
          <w:spacing w:val="-2"/>
        </w:rPr>
        <w:t>不符合和纠正措施</w:t>
      </w:r>
    </w:p>
    <w:p>
      <w:pPr>
        <w:ind w:left="437"/>
        <w:spacing w:before="165" w:line="221" w:lineRule="auto"/>
        <w:rPr>
          <w:rFonts w:ascii="SimSun" w:hAnsi="SimSun" w:eastAsia="SimSun" w:cs="SimSun"/>
          <w:sz w:val="21"/>
          <w:szCs w:val="21"/>
        </w:rPr>
      </w:pPr>
      <w:r>
        <w:rPr>
          <w:rFonts w:ascii="SimSun" w:hAnsi="SimSun" w:eastAsia="SimSun" w:cs="SimSun"/>
          <w:sz w:val="21"/>
          <w:szCs w:val="21"/>
          <w:spacing w:val="-5"/>
        </w:rPr>
        <w:t>出现不符合时，组织应：</w:t>
      </w:r>
    </w:p>
    <w:p>
      <w:pPr>
        <w:ind w:left="409"/>
        <w:spacing w:before="157" w:line="220"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对不符合作出响应，适用时采取措施予以控制和纠正，并处置产生的后果；</w:t>
      </w:r>
    </w:p>
    <w:p>
      <w:pPr>
        <w:ind w:left="409"/>
        <w:spacing w:before="158" w:line="221" w:lineRule="auto"/>
        <w:rPr>
          <w:rFonts w:ascii="SimSun" w:hAnsi="SimSun" w:eastAsia="SimSun" w:cs="SimSun"/>
          <w:sz w:val="21"/>
          <w:szCs w:val="21"/>
        </w:rPr>
      </w:pPr>
      <w:r>
        <w:rPr>
          <w:rFonts w:ascii="Times New Roman" w:hAnsi="Times New Roman" w:eastAsia="Times New Roman" w:cs="Times New Roman"/>
          <w:sz w:val="21"/>
          <w:szCs w:val="21"/>
          <w:spacing w:val="-1"/>
        </w:rPr>
        <w:t>—— </w:t>
      </w:r>
      <w:r>
        <w:rPr>
          <w:rFonts w:ascii="SimSun" w:hAnsi="SimSun" w:eastAsia="SimSun" w:cs="SimSun"/>
          <w:sz w:val="21"/>
          <w:szCs w:val="21"/>
          <w:spacing w:val="-1"/>
        </w:rPr>
        <w:t>通过分析确定不符合的原因，确定是否存在或可能发生类似的不符合；</w:t>
      </w:r>
    </w:p>
    <w:p>
      <w:pPr>
        <w:ind w:left="409"/>
        <w:spacing w:before="157"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采取纠正措施，消除不符合的原因，以避免再次发生；</w:t>
      </w:r>
    </w:p>
    <w:p>
      <w:pPr>
        <w:ind w:left="409"/>
        <w:spacing w:before="160"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评审所采取的纠正措施的有效性；</w:t>
      </w:r>
    </w:p>
    <w:p>
      <w:pPr>
        <w:ind w:left="409"/>
        <w:spacing w:before="158" w:line="220"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必要时，更新策划期间确定的风险和机遇，</w:t>
      </w:r>
      <w:r>
        <w:rPr>
          <w:rFonts w:ascii="SimSun" w:hAnsi="SimSun" w:eastAsia="SimSun" w:cs="SimSun"/>
          <w:sz w:val="21"/>
          <w:szCs w:val="21"/>
          <w:spacing w:val="-1"/>
        </w:rPr>
        <w:t>以及可追溯管理体系所需的变更。</w:t>
      </w:r>
    </w:p>
    <w:p>
      <w:pPr>
        <w:spacing w:line="220" w:lineRule="auto"/>
        <w:sectPr>
          <w:headerReference w:type="default" r:id="rId24"/>
          <w:footerReference w:type="default" r:id="rId25"/>
          <w:pgSz w:w="11907" w:h="16839"/>
          <w:pgMar w:top="1028" w:right="951" w:bottom="880" w:left="1424" w:header="703" w:footer="680" w:gutter="0"/>
        </w:sectPr>
        <w:rPr>
          <w:rFonts w:ascii="SimSun" w:hAnsi="SimSun" w:eastAsia="SimSun" w:cs="SimSun"/>
          <w:sz w:val="21"/>
          <w:szCs w:val="21"/>
        </w:rPr>
      </w:pPr>
    </w:p>
    <w:p>
      <w:pPr>
        <w:ind w:left="406"/>
        <w:spacing w:before="133" w:line="220" w:lineRule="auto"/>
        <w:rPr>
          <w:rFonts w:ascii="SimSun" w:hAnsi="SimSun" w:eastAsia="SimSun" w:cs="SimSun"/>
          <w:sz w:val="21"/>
          <w:szCs w:val="21"/>
        </w:rPr>
      </w:pPr>
      <w:r>
        <w:rPr>
          <w:rFonts w:ascii="SimSun" w:hAnsi="SimSun" w:eastAsia="SimSun" w:cs="SimSun"/>
          <w:sz w:val="21"/>
          <w:szCs w:val="21"/>
          <w:spacing w:val="-1"/>
        </w:rPr>
        <w:t>组织应保留下列成文信息：不符合的性质、所采取的措施以及措施的结果。</w:t>
      </w:r>
    </w:p>
    <w:p>
      <w:pPr>
        <w:pStyle w:val="BodyText"/>
        <w:spacing w:line="253" w:lineRule="auto"/>
        <w:rPr/>
      </w:pPr>
      <w:r/>
    </w:p>
    <w:p>
      <w:pPr>
        <w:spacing w:before="69" w:line="234" w:lineRule="auto"/>
        <w:outlineLvl w:val="1"/>
        <w:rPr>
          <w:rFonts w:ascii="SimHei" w:hAnsi="SimHei" w:eastAsia="SimHei" w:cs="SimHei"/>
          <w:sz w:val="21"/>
          <w:szCs w:val="21"/>
        </w:rPr>
      </w:pPr>
      <w:bookmarkStart w:name="bookmark40" w:id="45"/>
      <w:bookmarkEnd w:id="45"/>
      <w:r>
        <w:rPr>
          <w:rFonts w:ascii="Times New Roman" w:hAnsi="Times New Roman" w:eastAsia="Times New Roman" w:cs="Times New Roman"/>
          <w:sz w:val="21"/>
          <w:szCs w:val="21"/>
          <w:spacing w:val="-3"/>
        </w:rPr>
        <w:t>10.3 </w:t>
      </w:r>
      <w:r>
        <w:rPr>
          <w:rFonts w:ascii="SimHei" w:hAnsi="SimHei" w:eastAsia="SimHei" w:cs="SimHei"/>
          <w:sz w:val="21"/>
          <w:szCs w:val="21"/>
          <w:spacing w:val="-3"/>
        </w:rPr>
        <w:t>持续改进</w:t>
      </w:r>
    </w:p>
    <w:p>
      <w:pPr>
        <w:ind w:left="406"/>
        <w:spacing w:before="163" w:line="221" w:lineRule="auto"/>
        <w:rPr>
          <w:rFonts w:ascii="SimSun" w:hAnsi="SimSun" w:eastAsia="SimSun" w:cs="SimSun"/>
          <w:sz w:val="21"/>
          <w:szCs w:val="21"/>
        </w:rPr>
      </w:pPr>
      <w:r>
        <w:rPr>
          <w:rFonts w:ascii="SimSun" w:hAnsi="SimSun" w:eastAsia="SimSun" w:cs="SimSun"/>
          <w:sz w:val="21"/>
          <w:szCs w:val="21"/>
        </w:rPr>
        <w:t>组织应持续改进可追溯管理体系的适宜性、充分性和有效</w:t>
      </w:r>
      <w:r>
        <w:rPr>
          <w:rFonts w:ascii="SimSun" w:hAnsi="SimSun" w:eastAsia="SimSun" w:cs="SimSun"/>
          <w:sz w:val="21"/>
          <w:szCs w:val="21"/>
          <w:spacing w:val="-1"/>
        </w:rPr>
        <w:t>性，包括：</w:t>
      </w:r>
    </w:p>
    <w:p>
      <w:pPr>
        <w:ind w:left="393"/>
        <w:spacing w:before="157" w:line="219"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系统分析追溯体系评价的结果，审查不合格项，找出原因，并有针对性地采取纠正措施；</w:t>
      </w:r>
    </w:p>
    <w:p>
      <w:pPr>
        <w:ind w:left="393"/>
        <w:spacing w:before="160" w:line="22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对改进措施实施后的效果进行必要的验证，必要时对追溯体系进行更改；</w:t>
      </w:r>
    </w:p>
    <w:p>
      <w:pPr>
        <w:ind w:left="406" w:right="59" w:hanging="13"/>
        <w:spacing w:before="157" w:line="361" w:lineRule="auto"/>
        <w:rPr>
          <w:rFonts w:ascii="SimSun" w:hAnsi="SimSun" w:eastAsia="SimSun" w:cs="SimSun"/>
          <w:sz w:val="21"/>
          <w:szCs w:val="21"/>
        </w:rPr>
      </w:pPr>
      <w:r>
        <w:rPr>
          <w:rFonts w:ascii="Times New Roman" w:hAnsi="Times New Roman" w:eastAsia="Times New Roman" w:cs="Times New Roman"/>
          <w:sz w:val="21"/>
          <w:szCs w:val="21"/>
        </w:rPr>
        <w:t>—— </w:t>
      </w:r>
      <w:r>
        <w:rPr>
          <w:rFonts w:ascii="SimSun" w:hAnsi="SimSun" w:eastAsia="SimSun" w:cs="SimSun"/>
          <w:sz w:val="21"/>
          <w:szCs w:val="21"/>
        </w:rPr>
        <w:t>通过分享经验教训、采用新技术新方法和完善追溯管理文化，不断提升可追溯管理能力和组</w:t>
      </w:r>
      <w:r>
        <w:rPr>
          <w:rFonts w:ascii="SimSun" w:hAnsi="SimSun" w:eastAsia="SimSun" w:cs="SimSun"/>
          <w:sz w:val="21"/>
          <w:szCs w:val="21"/>
          <w:spacing w:val="-3"/>
        </w:rPr>
        <w:t>织绩效。</w:t>
      </w:r>
    </w:p>
    <w:p>
      <w:pPr>
        <w:spacing w:line="361" w:lineRule="auto"/>
        <w:sectPr>
          <w:headerReference w:type="default" r:id="rId26"/>
          <w:footerReference w:type="default" r:id="rId27"/>
          <w:pgSz w:w="11907" w:h="16839"/>
          <w:pgMar w:top="1028" w:right="1132" w:bottom="880" w:left="1441" w:header="703" w:footer="678" w:gutter="0"/>
        </w:sectPr>
        <w:rPr>
          <w:rFonts w:ascii="SimSun" w:hAnsi="SimSun" w:eastAsia="SimSun" w:cs="SimSun"/>
          <w:sz w:val="21"/>
          <w:szCs w:val="21"/>
        </w:rPr>
      </w:pPr>
    </w:p>
    <w:p>
      <w:pPr>
        <w:ind w:left="4390"/>
        <w:spacing w:before="135" w:line="220" w:lineRule="auto"/>
        <w:outlineLvl w:val="0"/>
        <w:rPr>
          <w:rFonts w:ascii="Times New Roman" w:hAnsi="Times New Roman" w:eastAsia="Times New Roman" w:cs="Times New Roman"/>
          <w:sz w:val="21"/>
          <w:szCs w:val="21"/>
        </w:rPr>
      </w:pPr>
      <w:bookmarkStart w:name="bookmark41" w:id="46"/>
      <w:bookmarkEnd w:id="46"/>
      <w:r>
        <w:rPr>
          <w:rFonts w:ascii="SimHei" w:hAnsi="SimHei" w:eastAsia="SimHei" w:cs="SimHei"/>
          <w:sz w:val="21"/>
          <w:szCs w:val="21"/>
          <w:spacing w:val="-6"/>
        </w:rPr>
        <w:t>附录</w:t>
      </w:r>
      <w:r>
        <w:rPr>
          <w:rFonts w:ascii="SimHei" w:hAnsi="SimHei" w:eastAsia="SimHei" w:cs="SimHei"/>
          <w:sz w:val="21"/>
          <w:szCs w:val="21"/>
          <w:spacing w:val="-53"/>
        </w:rPr>
        <w:t xml:space="preserve"> </w:t>
      </w:r>
      <w:r>
        <w:rPr>
          <w:rFonts w:ascii="Times New Roman" w:hAnsi="Times New Roman" w:eastAsia="Times New Roman" w:cs="Times New Roman"/>
          <w:sz w:val="21"/>
          <w:szCs w:val="21"/>
          <w:spacing w:val="-6"/>
        </w:rPr>
        <w:t>A</w:t>
      </w:r>
    </w:p>
    <w:p>
      <w:pPr>
        <w:ind w:left="4180"/>
        <w:spacing w:before="105" w:line="220" w:lineRule="auto"/>
        <w:outlineLvl w:val="0"/>
        <w:rPr>
          <w:rFonts w:ascii="SimHei" w:hAnsi="SimHei" w:eastAsia="SimHei" w:cs="SimHei"/>
          <w:sz w:val="21"/>
          <w:szCs w:val="21"/>
        </w:rPr>
      </w:pPr>
      <w:bookmarkStart w:name="bookmark41" w:id="47"/>
      <w:bookmarkEnd w:id="47"/>
      <w:r>
        <w:rPr>
          <w:rFonts w:ascii="SimHei" w:hAnsi="SimHei" w:eastAsia="SimHei" w:cs="SimHei"/>
          <w:sz w:val="21"/>
          <w:szCs w:val="21"/>
          <w:spacing w:val="-7"/>
        </w:rPr>
        <w:t>（资料性）</w:t>
      </w:r>
    </w:p>
    <w:p>
      <w:pPr>
        <w:ind w:left="3850"/>
        <w:spacing w:before="104" w:line="220" w:lineRule="auto"/>
        <w:outlineLvl w:val="0"/>
        <w:rPr>
          <w:rFonts w:ascii="SimHei" w:hAnsi="SimHei" w:eastAsia="SimHei" w:cs="SimHei"/>
          <w:sz w:val="21"/>
          <w:szCs w:val="21"/>
        </w:rPr>
      </w:pPr>
      <w:bookmarkStart w:name="bookmark41" w:id="48"/>
      <w:bookmarkEnd w:id="48"/>
      <w:r>
        <w:rPr>
          <w:rFonts w:ascii="SimHei" w:hAnsi="SimHei" w:eastAsia="SimHei" w:cs="SimHei"/>
          <w:sz w:val="21"/>
          <w:szCs w:val="21"/>
          <w:spacing w:val="-1"/>
        </w:rPr>
        <w:t>追溯体系建设原则</w:t>
      </w:r>
    </w:p>
    <w:p>
      <w:pPr>
        <w:ind w:left="435"/>
        <w:spacing w:before="300" w:line="234" w:lineRule="auto"/>
        <w:rPr>
          <w:rFonts w:ascii="SimSun" w:hAnsi="SimSun" w:eastAsia="SimSun" w:cs="SimSun"/>
          <w:sz w:val="21"/>
          <w:szCs w:val="21"/>
        </w:rPr>
      </w:pPr>
      <w:r>
        <w:rPr>
          <w:rFonts w:ascii="SimSun" w:hAnsi="SimSun" w:eastAsia="SimSun" w:cs="SimSun"/>
          <w:sz w:val="21"/>
          <w:szCs w:val="21"/>
          <w:spacing w:val="-2"/>
        </w:rPr>
        <w:t>组织可参照表</w:t>
      </w:r>
      <w:r>
        <w:rPr>
          <w:rFonts w:ascii="SimSun" w:hAnsi="SimSun" w:eastAsia="SimSun" w:cs="SimSun"/>
          <w:sz w:val="21"/>
          <w:szCs w:val="21"/>
          <w:spacing w:val="-38"/>
        </w:rPr>
        <w:t xml:space="preserve"> </w:t>
      </w:r>
      <w:r>
        <w:rPr>
          <w:rFonts w:ascii="Times New Roman" w:hAnsi="Times New Roman" w:eastAsia="Times New Roman" w:cs="Times New Roman"/>
          <w:sz w:val="21"/>
          <w:szCs w:val="21"/>
          <w:spacing w:val="-2"/>
        </w:rPr>
        <w:t>A.1 </w:t>
      </w:r>
      <w:r>
        <w:rPr>
          <w:rFonts w:ascii="SimSun" w:hAnsi="SimSun" w:eastAsia="SimSun" w:cs="SimSun"/>
          <w:sz w:val="21"/>
          <w:szCs w:val="21"/>
          <w:spacing w:val="-2"/>
        </w:rPr>
        <w:t>理解并应用追溯体系建设原则。</w:t>
      </w:r>
    </w:p>
    <w:p>
      <w:pPr>
        <w:pStyle w:val="BodyText"/>
        <w:spacing w:line="242" w:lineRule="auto"/>
        <w:rPr/>
      </w:pPr>
      <w:r/>
    </w:p>
    <w:p>
      <w:pPr>
        <w:ind w:left="3704"/>
        <w:spacing w:before="58" w:line="233" w:lineRule="auto"/>
        <w:rPr>
          <w:rFonts w:ascii="SimHei" w:hAnsi="SimHei" w:eastAsia="SimHei" w:cs="SimHei"/>
          <w:sz w:val="18"/>
          <w:szCs w:val="18"/>
        </w:rPr>
      </w:pPr>
      <w:r>
        <w:rPr>
          <w:rFonts w:ascii="SimHei" w:hAnsi="SimHei" w:eastAsia="SimHei" w:cs="SimHei"/>
          <w:sz w:val="18"/>
          <w:szCs w:val="18"/>
          <w:spacing w:val="-1"/>
        </w:rPr>
        <w:t>表</w:t>
      </w:r>
      <w:r>
        <w:rPr>
          <w:rFonts w:ascii="SimHei" w:hAnsi="SimHei" w:eastAsia="SimHei" w:cs="SimHei"/>
          <w:sz w:val="18"/>
          <w:szCs w:val="18"/>
          <w:spacing w:val="-40"/>
        </w:rPr>
        <w:t xml:space="preserve"> </w:t>
      </w:r>
      <w:r>
        <w:rPr>
          <w:rFonts w:ascii="Times New Roman" w:hAnsi="Times New Roman" w:eastAsia="Times New Roman" w:cs="Times New Roman"/>
          <w:sz w:val="18"/>
          <w:szCs w:val="18"/>
          <w:spacing w:val="-1"/>
        </w:rPr>
        <w:t>A.1 </w:t>
      </w:r>
      <w:r>
        <w:rPr>
          <w:rFonts w:ascii="SimHei" w:hAnsi="SimHei" w:eastAsia="SimHei" w:cs="SimHei"/>
          <w:sz w:val="18"/>
          <w:szCs w:val="18"/>
          <w:spacing w:val="-1"/>
        </w:rPr>
        <w:t>追溯体系建设原则</w:t>
      </w:r>
    </w:p>
    <w:p>
      <w:pPr>
        <w:spacing w:line="91" w:lineRule="exact"/>
        <w:rPr/>
      </w:pPr>
      <w:r/>
    </w:p>
    <w:tbl>
      <w:tblPr>
        <w:tblStyle w:val="TableNormal"/>
        <w:tblW w:w="9361"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121"/>
        <w:gridCol w:w="3116"/>
        <w:gridCol w:w="3124"/>
      </w:tblGrid>
      <w:tr>
        <w:trPr>
          <w:trHeight w:val="244" w:hRule="atLeast"/>
        </w:trPr>
        <w:tc>
          <w:tcPr>
            <w:tcW w:w="3121" w:type="dxa"/>
            <w:vAlign w:val="top"/>
          </w:tcPr>
          <w:p>
            <w:pPr>
              <w:ind w:left="1385"/>
              <w:spacing w:before="32" w:line="207" w:lineRule="auto"/>
              <w:rPr>
                <w:rFonts w:ascii="SimHei" w:hAnsi="SimHei" w:eastAsia="SimHei" w:cs="SimHei"/>
                <w:sz w:val="18"/>
                <w:szCs w:val="18"/>
              </w:rPr>
            </w:pPr>
            <w:r>
              <w:rPr>
                <w:rFonts w:ascii="SimHei" w:hAnsi="SimHei" w:eastAsia="SimHei" w:cs="SimHei"/>
                <w:sz w:val="18"/>
                <w:szCs w:val="18"/>
                <w:spacing w:val="-2"/>
              </w:rPr>
              <w:t>原则</w:t>
            </w:r>
          </w:p>
        </w:tc>
        <w:tc>
          <w:tcPr>
            <w:tcW w:w="3116" w:type="dxa"/>
            <w:vAlign w:val="top"/>
          </w:tcPr>
          <w:p>
            <w:pPr>
              <w:ind w:left="1215"/>
              <w:spacing w:before="32" w:line="207" w:lineRule="auto"/>
              <w:rPr>
                <w:rFonts w:ascii="SimHei" w:hAnsi="SimHei" w:eastAsia="SimHei" w:cs="SimHei"/>
                <w:sz w:val="18"/>
                <w:szCs w:val="18"/>
              </w:rPr>
            </w:pPr>
            <w:r>
              <w:rPr>
                <w:rFonts w:ascii="SimHei" w:hAnsi="SimHei" w:eastAsia="SimHei" w:cs="SimHei"/>
                <w:sz w:val="18"/>
                <w:szCs w:val="18"/>
                <w:spacing w:val="-4"/>
              </w:rPr>
              <w:t>内涵解释</w:t>
            </w:r>
          </w:p>
        </w:tc>
        <w:tc>
          <w:tcPr>
            <w:tcW w:w="3124" w:type="dxa"/>
            <w:vAlign w:val="top"/>
          </w:tcPr>
          <w:p>
            <w:pPr>
              <w:ind w:left="1211"/>
              <w:spacing w:before="32" w:line="207" w:lineRule="auto"/>
              <w:rPr>
                <w:rFonts w:ascii="SimHei" w:hAnsi="SimHei" w:eastAsia="SimHei" w:cs="SimHei"/>
                <w:sz w:val="18"/>
                <w:szCs w:val="18"/>
              </w:rPr>
            </w:pPr>
            <w:r>
              <w:rPr>
                <w:rFonts w:ascii="SimHei" w:hAnsi="SimHei" w:eastAsia="SimHei" w:cs="SimHei"/>
                <w:sz w:val="18"/>
                <w:szCs w:val="18"/>
                <w:spacing w:val="-3"/>
              </w:rPr>
              <w:t>实施要点</w:t>
            </w:r>
          </w:p>
        </w:tc>
      </w:tr>
      <w:tr>
        <w:trPr>
          <w:trHeight w:val="705" w:hRule="atLeast"/>
        </w:trPr>
        <w:tc>
          <w:tcPr>
            <w:tcW w:w="3121" w:type="dxa"/>
            <w:vAlign w:val="top"/>
          </w:tcPr>
          <w:p>
            <w:pPr>
              <w:pStyle w:val="TableText"/>
              <w:ind w:left="1296"/>
              <w:spacing w:before="258" w:line="221" w:lineRule="auto"/>
              <w:rPr/>
            </w:pPr>
            <w:r>
              <w:rPr>
                <w:spacing w:val="-2"/>
              </w:rPr>
              <w:t>合规性</w:t>
            </w:r>
          </w:p>
        </w:tc>
        <w:tc>
          <w:tcPr>
            <w:tcW w:w="3116" w:type="dxa"/>
            <w:vAlign w:val="top"/>
          </w:tcPr>
          <w:p>
            <w:pPr>
              <w:pStyle w:val="TableText"/>
              <w:ind w:left="115" w:right="123"/>
              <w:spacing w:before="143" w:line="241" w:lineRule="auto"/>
              <w:rPr/>
            </w:pPr>
            <w:r>
              <w:rPr>
                <w:spacing w:val="-1"/>
              </w:rPr>
              <w:t>可追溯管理体系建设应符合国家相关</w:t>
            </w:r>
            <w:r>
              <w:rPr>
                <w:spacing w:val="-1"/>
              </w:rPr>
              <w:t>法规和标准的要求</w:t>
            </w:r>
          </w:p>
        </w:tc>
        <w:tc>
          <w:tcPr>
            <w:tcW w:w="3124" w:type="dxa"/>
            <w:vAlign w:val="top"/>
          </w:tcPr>
          <w:p>
            <w:pPr>
              <w:pStyle w:val="TableText"/>
              <w:ind w:left="117"/>
              <w:spacing w:before="25" w:line="220" w:lineRule="auto"/>
              <w:rPr/>
            </w:pPr>
            <w:r>
              <w:rPr>
                <w:spacing w:val="-1"/>
              </w:rPr>
              <w:t>识别并遵守产品追溯相关的法律法</w:t>
            </w:r>
          </w:p>
          <w:p>
            <w:pPr>
              <w:pStyle w:val="TableText"/>
              <w:ind w:left="116" w:right="129"/>
              <w:spacing w:before="18" w:line="224" w:lineRule="auto"/>
              <w:rPr/>
            </w:pPr>
            <w:r>
              <w:rPr>
                <w:spacing w:val="-1"/>
              </w:rPr>
              <w:t>规、监管要求和标准规范，确保追溯</w:t>
            </w:r>
            <w:r>
              <w:rPr>
                <w:spacing w:val="-1"/>
              </w:rPr>
              <w:t>体系合规运行</w:t>
            </w:r>
          </w:p>
        </w:tc>
      </w:tr>
      <w:tr>
        <w:trPr>
          <w:trHeight w:val="705" w:hRule="atLeast"/>
        </w:trPr>
        <w:tc>
          <w:tcPr>
            <w:tcW w:w="3121" w:type="dxa"/>
            <w:vAlign w:val="top"/>
          </w:tcPr>
          <w:p>
            <w:pPr>
              <w:pStyle w:val="TableText"/>
              <w:ind w:left="1295"/>
              <w:spacing w:before="258" w:line="221" w:lineRule="auto"/>
              <w:rPr/>
            </w:pPr>
            <w:r>
              <w:rPr>
                <w:spacing w:val="-2"/>
              </w:rPr>
              <w:t>适宜性</w:t>
            </w:r>
          </w:p>
        </w:tc>
        <w:tc>
          <w:tcPr>
            <w:tcW w:w="3116" w:type="dxa"/>
            <w:vAlign w:val="top"/>
          </w:tcPr>
          <w:p>
            <w:pPr>
              <w:pStyle w:val="TableText"/>
              <w:ind w:left="116" w:right="123" w:hanging="2"/>
              <w:spacing w:before="144" w:line="241" w:lineRule="auto"/>
              <w:rPr/>
            </w:pPr>
            <w:r>
              <w:rPr>
                <w:spacing w:val="-1"/>
              </w:rPr>
              <w:t>应充分考虑产品特点和追溯特性，合</w:t>
            </w:r>
            <w:r>
              <w:rPr>
                <w:spacing w:val="-2"/>
              </w:rPr>
              <w:t>理确定追溯单元</w:t>
            </w:r>
          </w:p>
        </w:tc>
        <w:tc>
          <w:tcPr>
            <w:tcW w:w="3124" w:type="dxa"/>
            <w:vAlign w:val="top"/>
          </w:tcPr>
          <w:p>
            <w:pPr>
              <w:pStyle w:val="TableText"/>
              <w:ind w:left="117" w:right="129" w:firstLine="2"/>
              <w:spacing w:before="25" w:line="229" w:lineRule="auto"/>
              <w:jc w:val="both"/>
              <w:rPr/>
            </w:pPr>
            <w:r>
              <w:rPr>
                <w:spacing w:val="-1"/>
              </w:rPr>
              <w:t>结合追溯成本和追溯要求确定追溯单</w:t>
            </w:r>
            <w:r>
              <w:rPr>
                <w:spacing w:val="-1"/>
              </w:rPr>
              <w:t>元和追溯精度，平衡追溯成本与追溯</w:t>
            </w:r>
            <w:r>
              <w:rPr>
                <w:spacing w:val="-3"/>
              </w:rPr>
              <w:t>效益</w:t>
            </w:r>
          </w:p>
        </w:tc>
      </w:tr>
      <w:tr>
        <w:trPr>
          <w:trHeight w:val="705" w:hRule="atLeast"/>
        </w:trPr>
        <w:tc>
          <w:tcPr>
            <w:tcW w:w="3121" w:type="dxa"/>
            <w:vAlign w:val="top"/>
          </w:tcPr>
          <w:p>
            <w:pPr>
              <w:pStyle w:val="TableText"/>
              <w:ind w:left="1204"/>
              <w:spacing w:before="260" w:line="220" w:lineRule="auto"/>
              <w:rPr/>
            </w:pPr>
            <w:r>
              <w:rPr>
                <w:spacing w:val="-2"/>
              </w:rPr>
              <w:t>全链覆盖</w:t>
            </w:r>
          </w:p>
        </w:tc>
        <w:tc>
          <w:tcPr>
            <w:tcW w:w="3116" w:type="dxa"/>
            <w:vAlign w:val="top"/>
          </w:tcPr>
          <w:p>
            <w:pPr>
              <w:pStyle w:val="TableText"/>
              <w:ind w:left="114" w:right="123"/>
              <w:spacing w:before="144" w:line="241" w:lineRule="auto"/>
              <w:rPr/>
            </w:pPr>
            <w:r>
              <w:rPr>
                <w:spacing w:val="-1"/>
              </w:rPr>
              <w:t>追溯体系应覆盖供应链相关环节的追</w:t>
            </w:r>
            <w:r>
              <w:rPr>
                <w:spacing w:val="-2"/>
              </w:rPr>
              <w:t>溯信息</w:t>
            </w:r>
          </w:p>
        </w:tc>
        <w:tc>
          <w:tcPr>
            <w:tcW w:w="3124" w:type="dxa"/>
            <w:vAlign w:val="top"/>
          </w:tcPr>
          <w:p>
            <w:pPr>
              <w:pStyle w:val="TableText"/>
              <w:ind w:left="115" w:right="129" w:firstLine="1"/>
              <w:spacing w:before="27"/>
              <w:rPr/>
            </w:pPr>
            <w:r>
              <w:rPr>
                <w:spacing w:val="-1"/>
              </w:rPr>
              <w:t>覆盖初级生产、生产加工、包装、仓</w:t>
            </w:r>
            <w:r>
              <w:rPr>
                <w:spacing w:val="-1"/>
              </w:rPr>
              <w:t>储、运输、配送、销售、消费（使</w:t>
            </w:r>
          </w:p>
          <w:p>
            <w:pPr>
              <w:pStyle w:val="TableText"/>
              <w:ind w:left="117"/>
              <w:spacing w:line="204" w:lineRule="auto"/>
              <w:rPr/>
            </w:pPr>
            <w:r>
              <w:rPr>
                <w:spacing w:val="-2"/>
              </w:rPr>
              <w:t>用）等环节</w:t>
            </w:r>
          </w:p>
        </w:tc>
      </w:tr>
      <w:tr>
        <w:trPr>
          <w:trHeight w:val="705" w:hRule="atLeast"/>
        </w:trPr>
        <w:tc>
          <w:tcPr>
            <w:tcW w:w="3121" w:type="dxa"/>
            <w:vAlign w:val="top"/>
          </w:tcPr>
          <w:p>
            <w:pPr>
              <w:pStyle w:val="TableText"/>
              <w:ind w:left="1206"/>
              <w:spacing w:before="259" w:line="220" w:lineRule="auto"/>
              <w:rPr/>
            </w:pPr>
            <w:r>
              <w:rPr>
                <w:spacing w:val="-2"/>
              </w:rPr>
              <w:t>真实完整</w:t>
            </w:r>
          </w:p>
        </w:tc>
        <w:tc>
          <w:tcPr>
            <w:tcW w:w="3116" w:type="dxa"/>
            <w:vAlign w:val="top"/>
          </w:tcPr>
          <w:p>
            <w:pPr>
              <w:pStyle w:val="TableText"/>
              <w:ind w:left="116" w:right="123" w:hanging="2"/>
              <w:spacing w:before="146"/>
              <w:rPr/>
            </w:pPr>
            <w:r>
              <w:rPr>
                <w:spacing w:val="-1"/>
              </w:rPr>
              <w:t>追溯信息应全面、真实和合规，并具</w:t>
            </w:r>
            <w:r>
              <w:rPr>
                <w:spacing w:val="-1"/>
              </w:rPr>
              <w:t>备符合需求的追溯精确度</w:t>
            </w:r>
          </w:p>
        </w:tc>
        <w:tc>
          <w:tcPr>
            <w:tcW w:w="3124" w:type="dxa"/>
            <w:vAlign w:val="top"/>
          </w:tcPr>
          <w:p>
            <w:pPr>
              <w:pStyle w:val="TableText"/>
              <w:ind w:left="118" w:right="129" w:hanging="2"/>
              <w:spacing w:before="28" w:line="228" w:lineRule="auto"/>
              <w:jc w:val="both"/>
              <w:rPr/>
            </w:pPr>
            <w:r>
              <w:rPr>
                <w:spacing w:val="-1"/>
              </w:rPr>
              <w:t>确保追溯信息记录真实准确、完整可</w:t>
            </w:r>
            <w:r>
              <w:rPr>
                <w:spacing w:val="-1"/>
              </w:rPr>
              <w:t>查，可采用必要的防伪技术保障产品</w:t>
            </w:r>
            <w:r>
              <w:rPr>
                <w:spacing w:val="-3"/>
              </w:rPr>
              <w:t>真实性</w:t>
            </w:r>
          </w:p>
        </w:tc>
      </w:tr>
      <w:tr>
        <w:trPr>
          <w:trHeight w:val="470" w:hRule="atLeast"/>
        </w:trPr>
        <w:tc>
          <w:tcPr>
            <w:tcW w:w="3121" w:type="dxa"/>
            <w:vAlign w:val="top"/>
          </w:tcPr>
          <w:p>
            <w:pPr>
              <w:pStyle w:val="TableText"/>
              <w:ind w:left="1207"/>
              <w:spacing w:before="145" w:line="222" w:lineRule="auto"/>
              <w:rPr/>
            </w:pPr>
            <w:r>
              <w:rPr>
                <w:spacing w:val="-2"/>
              </w:rPr>
              <w:t>互联互通</w:t>
            </w:r>
          </w:p>
        </w:tc>
        <w:tc>
          <w:tcPr>
            <w:tcW w:w="3116" w:type="dxa"/>
            <w:vAlign w:val="top"/>
          </w:tcPr>
          <w:p>
            <w:pPr>
              <w:pStyle w:val="TableText"/>
              <w:ind w:left="116" w:right="123" w:hanging="2"/>
              <w:spacing w:before="27" w:line="222" w:lineRule="auto"/>
              <w:rPr/>
            </w:pPr>
            <w:r>
              <w:rPr>
                <w:spacing w:val="-1"/>
              </w:rPr>
              <w:t>应实现追溯数据在体系内的数据互联</w:t>
            </w:r>
            <w:r>
              <w:rPr>
                <w:spacing w:val="-3"/>
              </w:rPr>
              <w:t>互通</w:t>
            </w:r>
          </w:p>
        </w:tc>
        <w:tc>
          <w:tcPr>
            <w:tcW w:w="3124" w:type="dxa"/>
            <w:vAlign w:val="top"/>
          </w:tcPr>
          <w:p>
            <w:pPr>
              <w:pStyle w:val="TableText"/>
              <w:ind w:left="117" w:right="129"/>
              <w:spacing w:before="27" w:line="222" w:lineRule="auto"/>
              <w:rPr/>
            </w:pPr>
            <w:r>
              <w:rPr>
                <w:spacing w:val="-1"/>
              </w:rPr>
              <w:t>制定标准规范，支持跨部门跨区域业</w:t>
            </w:r>
            <w:r>
              <w:rPr>
                <w:spacing w:val="-1"/>
              </w:rPr>
              <w:t>务协同、资源整合、信息共享</w:t>
            </w:r>
          </w:p>
        </w:tc>
      </w:tr>
      <w:tr>
        <w:trPr>
          <w:trHeight w:val="472" w:hRule="atLeast"/>
        </w:trPr>
        <w:tc>
          <w:tcPr>
            <w:tcW w:w="3121" w:type="dxa"/>
            <w:vAlign w:val="top"/>
          </w:tcPr>
          <w:p>
            <w:pPr>
              <w:pStyle w:val="TableText"/>
              <w:ind w:left="1210"/>
              <w:spacing w:before="145" w:line="220" w:lineRule="auto"/>
              <w:rPr/>
            </w:pPr>
            <w:r>
              <w:rPr>
                <w:spacing w:val="-3"/>
              </w:rPr>
              <w:t>责任明确</w:t>
            </w:r>
          </w:p>
        </w:tc>
        <w:tc>
          <w:tcPr>
            <w:tcW w:w="3116" w:type="dxa"/>
            <w:vAlign w:val="top"/>
          </w:tcPr>
          <w:p>
            <w:pPr>
              <w:pStyle w:val="TableText"/>
              <w:ind w:left="114"/>
              <w:spacing w:before="145" w:line="220" w:lineRule="auto"/>
              <w:rPr/>
            </w:pPr>
            <w:r>
              <w:rPr>
                <w:spacing w:val="-1"/>
              </w:rPr>
              <w:t>应明确各追溯参与方的职责与要求</w:t>
            </w:r>
          </w:p>
        </w:tc>
        <w:tc>
          <w:tcPr>
            <w:tcW w:w="3124" w:type="dxa"/>
            <w:vAlign w:val="top"/>
          </w:tcPr>
          <w:p>
            <w:pPr>
              <w:pStyle w:val="TableText"/>
              <w:ind w:left="120" w:right="309" w:hanging="3"/>
              <w:spacing w:before="31" w:line="221" w:lineRule="auto"/>
              <w:rPr/>
            </w:pPr>
            <w:r>
              <w:rPr>
                <w:spacing w:val="-1"/>
              </w:rPr>
              <w:t>制定相应规章对追溯参与方进行规</w:t>
            </w:r>
            <w:r>
              <w:rPr>
                <w:spacing w:val="-1"/>
              </w:rPr>
              <w:t>范，落实各环节追溯责任</w:t>
            </w:r>
          </w:p>
        </w:tc>
      </w:tr>
      <w:tr>
        <w:trPr>
          <w:trHeight w:val="472" w:hRule="atLeast"/>
        </w:trPr>
        <w:tc>
          <w:tcPr>
            <w:tcW w:w="3121" w:type="dxa"/>
            <w:vAlign w:val="top"/>
          </w:tcPr>
          <w:p>
            <w:pPr>
              <w:pStyle w:val="TableText"/>
              <w:ind w:left="1205"/>
              <w:spacing w:before="145" w:line="220" w:lineRule="auto"/>
              <w:rPr/>
            </w:pPr>
            <w:r>
              <w:rPr>
                <w:spacing w:val="-2"/>
              </w:rPr>
              <w:t>过程管理</w:t>
            </w:r>
          </w:p>
        </w:tc>
        <w:tc>
          <w:tcPr>
            <w:tcW w:w="3116" w:type="dxa"/>
            <w:vAlign w:val="top"/>
          </w:tcPr>
          <w:p>
            <w:pPr>
              <w:pStyle w:val="TableText"/>
              <w:ind w:left="113" w:right="303"/>
              <w:spacing w:before="29" w:line="222" w:lineRule="auto"/>
              <w:rPr/>
            </w:pPr>
            <w:r>
              <w:rPr>
                <w:spacing w:val="-1"/>
              </w:rPr>
              <w:t>追溯体系过程管理可采用策划、实</w:t>
            </w:r>
            <w:r>
              <w:rPr>
                <w:spacing w:val="-2"/>
              </w:rPr>
              <w:t>施、评价、改进（</w:t>
            </w:r>
            <w:r>
              <w:rPr>
                <w:rFonts w:ascii="Times New Roman" w:hAnsi="Times New Roman" w:eastAsia="Times New Roman" w:cs="Times New Roman"/>
                <w:spacing w:val="-2"/>
              </w:rPr>
              <w:t>PDCA</w:t>
            </w:r>
            <w:r>
              <w:rPr>
                <w:spacing w:val="-2"/>
              </w:rPr>
              <w:t>）的原则</w:t>
            </w:r>
          </w:p>
        </w:tc>
        <w:tc>
          <w:tcPr>
            <w:tcW w:w="3124" w:type="dxa"/>
            <w:vAlign w:val="top"/>
          </w:tcPr>
          <w:p>
            <w:pPr>
              <w:pStyle w:val="TableText"/>
              <w:ind w:left="115" w:right="288" w:hanging="1"/>
              <w:spacing w:before="29" w:line="222" w:lineRule="auto"/>
              <w:rPr/>
            </w:pPr>
            <w:r>
              <w:rPr>
                <w:spacing w:val="-2"/>
              </w:rPr>
              <w:t>将</w:t>
            </w:r>
            <w:r>
              <w:rPr>
                <w:spacing w:val="-27"/>
              </w:rPr>
              <w:t xml:space="preserve"> </w:t>
            </w:r>
            <w:r>
              <w:rPr>
                <w:rFonts w:ascii="Times New Roman" w:hAnsi="Times New Roman" w:eastAsia="Times New Roman" w:cs="Times New Roman"/>
                <w:spacing w:val="-2"/>
              </w:rPr>
              <w:t>PDCA </w:t>
            </w:r>
            <w:r>
              <w:rPr>
                <w:spacing w:val="-2"/>
              </w:rPr>
              <w:t>循环应用于追溯体系的建</w:t>
            </w:r>
            <w:r>
              <w:rPr>
                <w:spacing w:val="-1"/>
              </w:rPr>
              <w:t>立、运行、评价和改进全过程</w:t>
            </w:r>
          </w:p>
        </w:tc>
      </w:tr>
      <w:tr>
        <w:trPr>
          <w:trHeight w:val="942" w:hRule="atLeast"/>
        </w:trPr>
        <w:tc>
          <w:tcPr>
            <w:tcW w:w="3121" w:type="dxa"/>
            <w:vAlign w:val="top"/>
          </w:tcPr>
          <w:p>
            <w:pPr>
              <w:spacing w:line="319" w:lineRule="auto"/>
              <w:rPr>
                <w:rFonts w:ascii="Arial"/>
                <w:sz w:val="21"/>
              </w:rPr>
            </w:pPr>
            <w:r/>
          </w:p>
          <w:p>
            <w:pPr>
              <w:pStyle w:val="TableText"/>
              <w:ind w:left="1205"/>
              <w:spacing w:before="58" w:line="220" w:lineRule="auto"/>
              <w:rPr/>
            </w:pPr>
            <w:r>
              <w:rPr>
                <w:spacing w:val="-2"/>
              </w:rPr>
              <w:t>要素完备</w:t>
            </w:r>
          </w:p>
        </w:tc>
        <w:tc>
          <w:tcPr>
            <w:tcW w:w="3116" w:type="dxa"/>
            <w:vAlign w:val="top"/>
          </w:tcPr>
          <w:p>
            <w:pPr>
              <w:pStyle w:val="TableText"/>
              <w:ind w:left="113" w:right="123"/>
              <w:spacing w:before="31" w:line="231" w:lineRule="auto"/>
              <w:jc w:val="both"/>
              <w:rPr/>
            </w:pPr>
            <w:r>
              <w:rPr>
                <w:spacing w:val="-1"/>
              </w:rPr>
              <w:t>追溯体系要素主要涵盖追溯对象、追</w:t>
            </w:r>
            <w:r>
              <w:rPr>
                <w:spacing w:val="-1"/>
              </w:rPr>
              <w:t>溯法规标准、追溯信息、追溯相关硬</w:t>
            </w:r>
            <w:r>
              <w:rPr>
                <w:spacing w:val="-1"/>
              </w:rPr>
              <w:t>件及设备、追溯相关软件、追溯参与</w:t>
            </w:r>
            <w:r>
              <w:rPr>
                <w:spacing w:val="-2"/>
              </w:rPr>
              <w:t>方等</w:t>
            </w:r>
          </w:p>
        </w:tc>
        <w:tc>
          <w:tcPr>
            <w:tcW w:w="3124" w:type="dxa"/>
            <w:vAlign w:val="top"/>
          </w:tcPr>
          <w:p>
            <w:pPr>
              <w:pStyle w:val="TableText"/>
              <w:ind w:left="133" w:right="129" w:hanging="17"/>
              <w:spacing w:before="263" w:line="243" w:lineRule="auto"/>
              <w:rPr/>
            </w:pPr>
            <w:r>
              <w:rPr>
                <w:spacing w:val="-1"/>
              </w:rPr>
              <w:t>确保追溯体系各要素完整、协调，共</w:t>
            </w:r>
            <w:r>
              <w:rPr>
                <w:spacing w:val="-3"/>
              </w:rPr>
              <w:t>同支撑追溯体系有效运行</w:t>
            </w:r>
          </w:p>
        </w:tc>
      </w:tr>
    </w:tbl>
    <w:p>
      <w:pPr>
        <w:pStyle w:val="BodyText"/>
        <w:spacing w:line="463" w:lineRule="auto"/>
        <w:rPr/>
      </w:pPr>
      <w:r/>
    </w:p>
    <w:p>
      <w:pPr>
        <w:ind w:left="13"/>
        <w:spacing w:before="59" w:line="219" w:lineRule="auto"/>
        <w:rPr>
          <w:rFonts w:ascii="SimSun" w:hAnsi="SimSun" w:eastAsia="SimSun" w:cs="SimSun"/>
          <w:sz w:val="18"/>
          <w:szCs w:val="18"/>
        </w:rPr>
      </w:pPr>
      <w:r>
        <w:rPr>
          <w:rFonts w:ascii="SimHei" w:hAnsi="SimHei" w:eastAsia="SimHei" w:cs="SimHei"/>
          <w:sz w:val="18"/>
          <w:szCs w:val="18"/>
          <w:spacing w:val="-1"/>
        </w:rPr>
        <w:t>注：</w:t>
      </w:r>
      <w:r>
        <w:rPr>
          <w:rFonts w:ascii="SimSun" w:hAnsi="SimSun" w:eastAsia="SimSun" w:cs="SimSun"/>
          <w:sz w:val="18"/>
          <w:szCs w:val="18"/>
          <w:spacing w:val="-1"/>
        </w:rPr>
        <w:t>追溯体系建设原则相互关联、相互支持，共同构成有效可追溯管理的基础。</w:t>
      </w:r>
    </w:p>
    <w:p>
      <w:pPr>
        <w:spacing w:line="219" w:lineRule="auto"/>
        <w:sectPr>
          <w:headerReference w:type="default" r:id="rId28"/>
          <w:footerReference w:type="default" r:id="rId29"/>
          <w:pgSz w:w="11907" w:h="16839"/>
          <w:pgMar w:top="1028" w:right="1128" w:bottom="880" w:left="1411" w:header="703" w:footer="678" w:gutter="0"/>
        </w:sectPr>
        <w:rPr>
          <w:rFonts w:ascii="SimSun" w:hAnsi="SimSun" w:eastAsia="SimSun" w:cs="SimSun"/>
          <w:sz w:val="18"/>
          <w:szCs w:val="18"/>
        </w:rPr>
      </w:pPr>
    </w:p>
    <w:p>
      <w:pPr>
        <w:ind w:left="4395"/>
        <w:spacing w:before="135" w:line="220" w:lineRule="auto"/>
        <w:outlineLvl w:val="0"/>
        <w:rPr>
          <w:rFonts w:ascii="Times New Roman" w:hAnsi="Times New Roman" w:eastAsia="Times New Roman" w:cs="Times New Roman"/>
          <w:sz w:val="21"/>
          <w:szCs w:val="21"/>
        </w:rPr>
      </w:pPr>
      <w:bookmarkStart w:name="bookmark42" w:id="49"/>
      <w:bookmarkEnd w:id="49"/>
      <w:r>
        <w:rPr>
          <w:rFonts w:ascii="SimHei" w:hAnsi="SimHei" w:eastAsia="SimHei" w:cs="SimHei"/>
          <w:sz w:val="21"/>
          <w:szCs w:val="21"/>
          <w:spacing w:val="-6"/>
        </w:rPr>
        <w:t>附录</w:t>
      </w:r>
      <w:r>
        <w:rPr>
          <w:rFonts w:ascii="SimHei" w:hAnsi="SimHei" w:eastAsia="SimHei" w:cs="SimHei"/>
          <w:sz w:val="21"/>
          <w:szCs w:val="21"/>
          <w:spacing w:val="-51"/>
        </w:rPr>
        <w:t xml:space="preserve"> </w:t>
      </w:r>
      <w:r>
        <w:rPr>
          <w:rFonts w:ascii="Times New Roman" w:hAnsi="Times New Roman" w:eastAsia="Times New Roman" w:cs="Times New Roman"/>
          <w:sz w:val="21"/>
          <w:szCs w:val="21"/>
          <w:spacing w:val="-6"/>
        </w:rPr>
        <w:t>B</w:t>
      </w:r>
    </w:p>
    <w:p>
      <w:pPr>
        <w:ind w:left="4180"/>
        <w:spacing w:before="105" w:line="220" w:lineRule="auto"/>
        <w:outlineLvl w:val="0"/>
        <w:rPr>
          <w:rFonts w:ascii="SimHei" w:hAnsi="SimHei" w:eastAsia="SimHei" w:cs="SimHei"/>
          <w:sz w:val="21"/>
          <w:szCs w:val="21"/>
        </w:rPr>
      </w:pPr>
      <w:bookmarkStart w:name="bookmark42" w:id="50"/>
      <w:bookmarkEnd w:id="50"/>
      <w:r>
        <w:rPr>
          <w:rFonts w:ascii="SimHei" w:hAnsi="SimHei" w:eastAsia="SimHei" w:cs="SimHei"/>
          <w:sz w:val="21"/>
          <w:szCs w:val="21"/>
          <w:spacing w:val="-7"/>
        </w:rPr>
        <w:t>（资料性）</w:t>
      </w:r>
    </w:p>
    <w:p>
      <w:pPr>
        <w:ind w:left="4059"/>
        <w:spacing w:before="104" w:line="220" w:lineRule="auto"/>
        <w:outlineLvl w:val="0"/>
        <w:rPr>
          <w:rFonts w:ascii="SimHei" w:hAnsi="SimHei" w:eastAsia="SimHei" w:cs="SimHei"/>
          <w:sz w:val="21"/>
          <w:szCs w:val="21"/>
        </w:rPr>
      </w:pPr>
      <w:bookmarkStart w:name="bookmark42" w:id="51"/>
      <w:bookmarkEnd w:id="51"/>
      <w:r>
        <w:rPr>
          <w:rFonts w:ascii="SimHei" w:hAnsi="SimHei" w:eastAsia="SimHei" w:cs="SimHei"/>
          <w:sz w:val="21"/>
          <w:szCs w:val="21"/>
          <w:spacing w:val="-1"/>
        </w:rPr>
        <w:t>追溯信息内容</w:t>
      </w:r>
    </w:p>
    <w:p>
      <w:pPr>
        <w:ind w:left="435"/>
        <w:spacing w:before="299" w:line="234" w:lineRule="auto"/>
        <w:rPr>
          <w:rFonts w:ascii="SimSun" w:hAnsi="SimSun" w:eastAsia="SimSun" w:cs="SimSun"/>
          <w:sz w:val="21"/>
          <w:szCs w:val="21"/>
        </w:rPr>
      </w:pPr>
      <w:r>
        <w:rPr>
          <w:rFonts w:ascii="SimSun" w:hAnsi="SimSun" w:eastAsia="SimSun" w:cs="SimSun"/>
          <w:sz w:val="21"/>
          <w:szCs w:val="21"/>
          <w:spacing w:val="-2"/>
        </w:rPr>
        <w:t>组织可参照表</w:t>
      </w:r>
      <w:r>
        <w:rPr>
          <w:rFonts w:ascii="SimSun" w:hAnsi="SimSun" w:eastAsia="SimSun" w:cs="SimSun"/>
          <w:sz w:val="21"/>
          <w:szCs w:val="21"/>
          <w:spacing w:val="-39"/>
        </w:rPr>
        <w:t xml:space="preserve"> </w:t>
      </w:r>
      <w:r>
        <w:rPr>
          <w:rFonts w:ascii="Times New Roman" w:hAnsi="Times New Roman" w:eastAsia="Times New Roman" w:cs="Times New Roman"/>
          <w:sz w:val="21"/>
          <w:szCs w:val="21"/>
          <w:spacing w:val="-2"/>
        </w:rPr>
        <w:t>B.1 </w:t>
      </w:r>
      <w:r>
        <w:rPr>
          <w:rFonts w:ascii="SimSun" w:hAnsi="SimSun" w:eastAsia="SimSun" w:cs="SimSun"/>
          <w:sz w:val="21"/>
          <w:szCs w:val="21"/>
          <w:spacing w:val="-2"/>
        </w:rPr>
        <w:t>确定供应链各环节的追溯信息。</w:t>
      </w:r>
    </w:p>
    <w:p>
      <w:pPr>
        <w:pStyle w:val="BodyText"/>
        <w:spacing w:line="242" w:lineRule="auto"/>
        <w:rPr/>
      </w:pPr>
      <w:r/>
    </w:p>
    <w:p>
      <w:pPr>
        <w:ind w:left="3528"/>
        <w:spacing w:before="59" w:line="233" w:lineRule="auto"/>
        <w:rPr>
          <w:rFonts w:ascii="SimHei" w:hAnsi="SimHei" w:eastAsia="SimHei" w:cs="SimHei"/>
          <w:sz w:val="18"/>
          <w:szCs w:val="18"/>
        </w:rPr>
      </w:pPr>
      <w:r>
        <w:rPr>
          <w:rFonts w:ascii="SimHei" w:hAnsi="SimHei" w:eastAsia="SimHei" w:cs="SimHei"/>
          <w:sz w:val="18"/>
          <w:szCs w:val="18"/>
          <w:spacing w:val="-2"/>
        </w:rPr>
        <w:t>表</w:t>
      </w:r>
      <w:r>
        <w:rPr>
          <w:rFonts w:ascii="SimHei" w:hAnsi="SimHei" w:eastAsia="SimHei" w:cs="SimHei"/>
          <w:sz w:val="18"/>
          <w:szCs w:val="18"/>
          <w:spacing w:val="-39"/>
        </w:rPr>
        <w:t xml:space="preserve"> </w:t>
      </w:r>
      <w:r>
        <w:rPr>
          <w:rFonts w:ascii="Times New Roman" w:hAnsi="Times New Roman" w:eastAsia="Times New Roman" w:cs="Times New Roman"/>
          <w:sz w:val="18"/>
          <w:szCs w:val="18"/>
          <w:spacing w:val="-2"/>
        </w:rPr>
        <w:t>B.1 </w:t>
      </w:r>
      <w:r>
        <w:rPr>
          <w:rFonts w:ascii="SimHei" w:hAnsi="SimHei" w:eastAsia="SimHei" w:cs="SimHei"/>
          <w:sz w:val="18"/>
          <w:szCs w:val="18"/>
          <w:spacing w:val="-2"/>
        </w:rPr>
        <w:t>追溯信息内容（示例）</w:t>
      </w:r>
    </w:p>
    <w:p>
      <w:pPr>
        <w:spacing w:line="91" w:lineRule="exact"/>
        <w:rPr/>
      </w:pPr>
      <w:r/>
    </w:p>
    <w:tbl>
      <w:tblPr>
        <w:tblStyle w:val="TableNormal"/>
        <w:tblW w:w="9361"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680"/>
        <w:gridCol w:w="4681"/>
      </w:tblGrid>
      <w:tr>
        <w:trPr>
          <w:trHeight w:val="244" w:hRule="atLeast"/>
        </w:trPr>
        <w:tc>
          <w:tcPr>
            <w:tcW w:w="4680" w:type="dxa"/>
            <w:vAlign w:val="top"/>
          </w:tcPr>
          <w:p>
            <w:pPr>
              <w:ind w:left="1984"/>
              <w:spacing w:before="32" w:line="207" w:lineRule="auto"/>
              <w:rPr>
                <w:rFonts w:ascii="SimHei" w:hAnsi="SimHei" w:eastAsia="SimHei" w:cs="SimHei"/>
                <w:sz w:val="18"/>
                <w:szCs w:val="18"/>
              </w:rPr>
            </w:pPr>
            <w:r>
              <w:rPr>
                <w:rFonts w:ascii="SimHei" w:hAnsi="SimHei" w:eastAsia="SimHei" w:cs="SimHei"/>
                <w:sz w:val="18"/>
                <w:szCs w:val="18"/>
                <w:spacing w:val="-2"/>
              </w:rPr>
              <w:t>信息类别</w:t>
            </w:r>
          </w:p>
        </w:tc>
        <w:tc>
          <w:tcPr>
            <w:tcW w:w="4681" w:type="dxa"/>
            <w:vAlign w:val="top"/>
          </w:tcPr>
          <w:p>
            <w:pPr>
              <w:ind w:left="1802"/>
              <w:spacing w:before="32" w:line="207" w:lineRule="auto"/>
              <w:rPr>
                <w:rFonts w:ascii="SimHei" w:hAnsi="SimHei" w:eastAsia="SimHei" w:cs="SimHei"/>
                <w:sz w:val="18"/>
                <w:szCs w:val="18"/>
              </w:rPr>
            </w:pPr>
            <w:r>
              <w:rPr>
                <w:rFonts w:ascii="SimHei" w:hAnsi="SimHei" w:eastAsia="SimHei" w:cs="SimHei"/>
                <w:sz w:val="18"/>
                <w:szCs w:val="18"/>
                <w:spacing w:val="-1"/>
              </w:rPr>
              <w:t>追溯信息示例</w:t>
            </w:r>
          </w:p>
        </w:tc>
      </w:tr>
      <w:tr>
        <w:trPr>
          <w:trHeight w:val="472" w:hRule="atLeast"/>
        </w:trPr>
        <w:tc>
          <w:tcPr>
            <w:tcW w:w="4680" w:type="dxa"/>
            <w:vAlign w:val="top"/>
          </w:tcPr>
          <w:p>
            <w:pPr>
              <w:pStyle w:val="TableText"/>
              <w:ind w:left="1444"/>
              <w:spacing w:before="142" w:line="220" w:lineRule="auto"/>
              <w:rPr/>
            </w:pPr>
            <w:r>
              <w:rPr>
                <w:spacing w:val="-1"/>
              </w:rPr>
              <w:t>产品生产经营主体信息</w:t>
            </w:r>
          </w:p>
        </w:tc>
        <w:tc>
          <w:tcPr>
            <w:tcW w:w="4681" w:type="dxa"/>
            <w:vAlign w:val="top"/>
          </w:tcPr>
          <w:p>
            <w:pPr>
              <w:pStyle w:val="TableText"/>
              <w:ind w:left="112" w:right="250" w:firstLine="1"/>
              <w:spacing w:before="25" w:line="224" w:lineRule="auto"/>
              <w:rPr/>
            </w:pPr>
            <w:r>
              <w:rPr>
                <w:spacing w:val="-1"/>
              </w:rPr>
              <w:t>主体名称、统一社会信用代码、地址、联系方式、资质</w:t>
            </w:r>
            <w:r>
              <w:rPr>
                <w:spacing w:val="-2"/>
              </w:rPr>
              <w:t>信息等</w:t>
            </w:r>
          </w:p>
        </w:tc>
      </w:tr>
      <w:tr>
        <w:trPr>
          <w:trHeight w:val="237" w:hRule="atLeast"/>
        </w:trPr>
        <w:tc>
          <w:tcPr>
            <w:tcW w:w="4680" w:type="dxa"/>
            <w:vAlign w:val="top"/>
          </w:tcPr>
          <w:p>
            <w:pPr>
              <w:pStyle w:val="TableText"/>
              <w:ind w:left="1984"/>
              <w:spacing w:before="26" w:line="206" w:lineRule="auto"/>
              <w:rPr/>
            </w:pPr>
            <w:r>
              <w:rPr>
                <w:spacing w:val="-2"/>
              </w:rPr>
              <w:t>产品信息</w:t>
            </w:r>
          </w:p>
        </w:tc>
        <w:tc>
          <w:tcPr>
            <w:tcW w:w="4681" w:type="dxa"/>
            <w:vAlign w:val="top"/>
          </w:tcPr>
          <w:p>
            <w:pPr>
              <w:pStyle w:val="TableText"/>
              <w:ind w:left="112"/>
              <w:spacing w:before="26" w:line="206" w:lineRule="auto"/>
              <w:rPr/>
            </w:pPr>
            <w:r>
              <w:rPr>
                <w:spacing w:val="-1"/>
              </w:rPr>
              <w:t>产品名称、规格、型号、批次、生产日期、保质期等</w:t>
            </w:r>
          </w:p>
        </w:tc>
      </w:tr>
      <w:tr>
        <w:trPr>
          <w:trHeight w:val="472" w:hRule="atLeast"/>
        </w:trPr>
        <w:tc>
          <w:tcPr>
            <w:tcW w:w="4680" w:type="dxa"/>
            <w:vAlign w:val="top"/>
          </w:tcPr>
          <w:p>
            <w:pPr>
              <w:pStyle w:val="TableText"/>
              <w:ind w:left="1803"/>
              <w:spacing w:before="143" w:line="220" w:lineRule="auto"/>
              <w:rPr/>
            </w:pPr>
            <w:r>
              <w:rPr>
                <w:spacing w:val="-1"/>
              </w:rPr>
              <w:t>初级生产信息</w:t>
            </w:r>
          </w:p>
        </w:tc>
        <w:tc>
          <w:tcPr>
            <w:tcW w:w="4681" w:type="dxa"/>
            <w:vAlign w:val="top"/>
          </w:tcPr>
          <w:p>
            <w:pPr>
              <w:pStyle w:val="TableText"/>
              <w:ind w:left="120" w:right="430" w:hanging="3"/>
              <w:spacing w:before="27" w:line="223" w:lineRule="auto"/>
              <w:rPr/>
            </w:pPr>
            <w:r>
              <w:rPr>
                <w:spacing w:val="-1"/>
              </w:rPr>
              <w:t>原料来源、种养殖信息、投入品使用信息、采收（屠</w:t>
            </w:r>
            <w:r>
              <w:rPr>
                <w:spacing w:val="-3"/>
              </w:rPr>
              <w:t>宰）信息等</w:t>
            </w:r>
          </w:p>
        </w:tc>
      </w:tr>
      <w:tr>
        <w:trPr>
          <w:trHeight w:val="470" w:hRule="atLeast"/>
        </w:trPr>
        <w:tc>
          <w:tcPr>
            <w:tcW w:w="4680" w:type="dxa"/>
            <w:vAlign w:val="top"/>
          </w:tcPr>
          <w:p>
            <w:pPr>
              <w:pStyle w:val="TableText"/>
              <w:ind w:left="1984"/>
              <w:spacing w:before="145" w:line="220" w:lineRule="auto"/>
              <w:rPr/>
            </w:pPr>
            <w:r>
              <w:rPr>
                <w:spacing w:val="-2"/>
              </w:rPr>
              <w:t>加工信息</w:t>
            </w:r>
          </w:p>
        </w:tc>
        <w:tc>
          <w:tcPr>
            <w:tcW w:w="4681" w:type="dxa"/>
            <w:vAlign w:val="top"/>
          </w:tcPr>
          <w:p>
            <w:pPr>
              <w:pStyle w:val="TableText"/>
              <w:ind w:left="119" w:right="250" w:hanging="7"/>
              <w:spacing w:before="27" w:line="222" w:lineRule="auto"/>
              <w:rPr/>
            </w:pPr>
            <w:r>
              <w:rPr>
                <w:spacing w:val="-1"/>
              </w:rPr>
              <w:t>加工工序、工艺参数、投料信息、半成品及成品检验信</w:t>
            </w:r>
            <w:r>
              <w:rPr>
                <w:spacing w:val="-4"/>
              </w:rPr>
              <w:t>息等</w:t>
            </w:r>
          </w:p>
        </w:tc>
      </w:tr>
      <w:tr>
        <w:trPr>
          <w:trHeight w:val="240" w:hRule="atLeast"/>
        </w:trPr>
        <w:tc>
          <w:tcPr>
            <w:tcW w:w="4680" w:type="dxa"/>
            <w:vAlign w:val="top"/>
          </w:tcPr>
          <w:p>
            <w:pPr>
              <w:pStyle w:val="TableText"/>
              <w:ind w:left="1984"/>
              <w:spacing w:before="30" w:line="205" w:lineRule="auto"/>
              <w:rPr/>
            </w:pPr>
            <w:r>
              <w:rPr>
                <w:spacing w:val="-2"/>
              </w:rPr>
              <w:t>包装信息</w:t>
            </w:r>
          </w:p>
        </w:tc>
        <w:tc>
          <w:tcPr>
            <w:tcW w:w="4681" w:type="dxa"/>
            <w:vAlign w:val="top"/>
          </w:tcPr>
          <w:p>
            <w:pPr>
              <w:pStyle w:val="TableText"/>
              <w:ind w:left="112"/>
              <w:spacing w:before="30" w:line="205" w:lineRule="auto"/>
              <w:rPr/>
            </w:pPr>
            <w:r>
              <w:rPr>
                <w:spacing w:val="-1"/>
              </w:rPr>
              <w:t>包装形式、包装材料、包装批次、包装日期等</w:t>
            </w:r>
          </w:p>
        </w:tc>
      </w:tr>
      <w:tr>
        <w:trPr>
          <w:trHeight w:val="237" w:hRule="atLeast"/>
        </w:trPr>
        <w:tc>
          <w:tcPr>
            <w:tcW w:w="4680" w:type="dxa"/>
            <w:vAlign w:val="top"/>
          </w:tcPr>
          <w:p>
            <w:pPr>
              <w:pStyle w:val="TableText"/>
              <w:ind w:left="1983"/>
              <w:spacing w:before="28" w:line="204" w:lineRule="auto"/>
              <w:rPr/>
            </w:pPr>
            <w:r>
              <w:rPr>
                <w:spacing w:val="-2"/>
              </w:rPr>
              <w:t>仓储信息</w:t>
            </w:r>
          </w:p>
        </w:tc>
        <w:tc>
          <w:tcPr>
            <w:tcW w:w="4681" w:type="dxa"/>
            <w:vAlign w:val="top"/>
          </w:tcPr>
          <w:p>
            <w:pPr>
              <w:pStyle w:val="TableText"/>
              <w:ind w:left="112"/>
              <w:spacing w:before="28" w:line="204" w:lineRule="auto"/>
              <w:rPr/>
            </w:pPr>
            <w:r>
              <w:rPr>
                <w:spacing w:val="-1"/>
              </w:rPr>
              <w:t>仓库信息、入库出库记录、存储环境条件等</w:t>
            </w:r>
          </w:p>
        </w:tc>
      </w:tr>
      <w:tr>
        <w:trPr>
          <w:trHeight w:val="472" w:hRule="atLeast"/>
        </w:trPr>
        <w:tc>
          <w:tcPr>
            <w:tcW w:w="4680" w:type="dxa"/>
            <w:vAlign w:val="top"/>
          </w:tcPr>
          <w:p>
            <w:pPr>
              <w:pStyle w:val="TableText"/>
              <w:ind w:left="1984"/>
              <w:spacing w:before="145" w:line="220" w:lineRule="auto"/>
              <w:rPr/>
            </w:pPr>
            <w:r>
              <w:rPr>
                <w:spacing w:val="-2"/>
              </w:rPr>
              <w:t>运输信息</w:t>
            </w:r>
          </w:p>
        </w:tc>
        <w:tc>
          <w:tcPr>
            <w:tcW w:w="4681" w:type="dxa"/>
            <w:vAlign w:val="top"/>
          </w:tcPr>
          <w:p>
            <w:pPr>
              <w:pStyle w:val="TableText"/>
              <w:ind w:left="113" w:right="250" w:hanging="1"/>
              <w:spacing w:before="29" w:line="222" w:lineRule="auto"/>
              <w:rPr/>
            </w:pPr>
            <w:r>
              <w:rPr>
                <w:spacing w:val="-1"/>
              </w:rPr>
              <w:t>物流责任主体、运输单元、运输环境信息、运输车牌号</w:t>
            </w:r>
            <w:r>
              <w:rPr/>
              <w:t>等</w:t>
            </w:r>
          </w:p>
        </w:tc>
      </w:tr>
      <w:tr>
        <w:trPr>
          <w:trHeight w:val="237" w:hRule="atLeast"/>
        </w:trPr>
        <w:tc>
          <w:tcPr>
            <w:tcW w:w="4680" w:type="dxa"/>
            <w:vAlign w:val="top"/>
          </w:tcPr>
          <w:p>
            <w:pPr>
              <w:pStyle w:val="TableText"/>
              <w:ind w:left="1984"/>
              <w:spacing w:before="29" w:line="203" w:lineRule="auto"/>
              <w:rPr/>
            </w:pPr>
            <w:r>
              <w:rPr>
                <w:spacing w:val="-2"/>
              </w:rPr>
              <w:t>配送信息</w:t>
            </w:r>
          </w:p>
        </w:tc>
        <w:tc>
          <w:tcPr>
            <w:tcW w:w="4681" w:type="dxa"/>
            <w:vAlign w:val="top"/>
          </w:tcPr>
          <w:p>
            <w:pPr>
              <w:pStyle w:val="TableText"/>
              <w:ind w:left="112"/>
              <w:spacing w:before="29" w:line="203" w:lineRule="auto"/>
              <w:rPr/>
            </w:pPr>
            <w:r>
              <w:rPr>
                <w:spacing w:val="-1"/>
              </w:rPr>
              <w:t>配送责任主体、配送单号、配送日期、接收方信息等</w:t>
            </w:r>
          </w:p>
        </w:tc>
      </w:tr>
      <w:tr>
        <w:trPr>
          <w:trHeight w:val="239" w:hRule="atLeast"/>
        </w:trPr>
        <w:tc>
          <w:tcPr>
            <w:tcW w:w="4680" w:type="dxa"/>
            <w:vAlign w:val="top"/>
          </w:tcPr>
          <w:p>
            <w:pPr>
              <w:pStyle w:val="TableText"/>
              <w:ind w:left="1985"/>
              <w:spacing w:before="32" w:line="202" w:lineRule="auto"/>
              <w:rPr/>
            </w:pPr>
            <w:r>
              <w:rPr>
                <w:spacing w:val="-2"/>
              </w:rPr>
              <w:t>销售信息</w:t>
            </w:r>
          </w:p>
        </w:tc>
        <w:tc>
          <w:tcPr>
            <w:tcW w:w="4681" w:type="dxa"/>
            <w:vAlign w:val="top"/>
          </w:tcPr>
          <w:p>
            <w:pPr>
              <w:pStyle w:val="TableText"/>
              <w:ind w:left="113"/>
              <w:spacing w:before="32" w:line="202" w:lineRule="auto"/>
              <w:rPr/>
            </w:pPr>
            <w:r>
              <w:rPr>
                <w:spacing w:val="-1"/>
              </w:rPr>
              <w:t>销售主体、销售日期、销售数量、销售去向等</w:t>
            </w:r>
          </w:p>
        </w:tc>
      </w:tr>
      <w:tr>
        <w:trPr>
          <w:trHeight w:val="237" w:hRule="atLeast"/>
        </w:trPr>
        <w:tc>
          <w:tcPr>
            <w:tcW w:w="4680" w:type="dxa"/>
            <w:vAlign w:val="top"/>
          </w:tcPr>
          <w:p>
            <w:pPr>
              <w:pStyle w:val="TableText"/>
              <w:ind w:left="1807"/>
              <w:spacing w:before="30" w:line="202" w:lineRule="auto"/>
              <w:rPr/>
            </w:pPr>
            <w:r>
              <w:rPr>
                <w:spacing w:val="-2"/>
              </w:rPr>
              <w:t>消费使用信息</w:t>
            </w:r>
          </w:p>
        </w:tc>
        <w:tc>
          <w:tcPr>
            <w:tcW w:w="4681" w:type="dxa"/>
            <w:vAlign w:val="top"/>
          </w:tcPr>
          <w:p>
            <w:pPr>
              <w:pStyle w:val="TableText"/>
              <w:ind w:left="116"/>
              <w:spacing w:before="30" w:line="202" w:lineRule="auto"/>
              <w:rPr/>
            </w:pPr>
            <w:r>
              <w:rPr>
                <w:spacing w:val="-1"/>
              </w:rPr>
              <w:t>消费（使用）环节的相关反馈和使用情况等</w:t>
            </w:r>
          </w:p>
        </w:tc>
      </w:tr>
      <w:tr>
        <w:trPr>
          <w:trHeight w:val="240" w:hRule="atLeast"/>
        </w:trPr>
        <w:tc>
          <w:tcPr>
            <w:tcW w:w="4680" w:type="dxa"/>
            <w:vAlign w:val="top"/>
          </w:tcPr>
          <w:p>
            <w:pPr>
              <w:pStyle w:val="TableText"/>
              <w:ind w:left="1715"/>
              <w:spacing w:before="30" w:line="205" w:lineRule="auto"/>
              <w:rPr/>
            </w:pPr>
            <w:r>
              <w:rPr>
                <w:spacing w:val="-1"/>
              </w:rPr>
              <w:t>追溯码编码信息</w:t>
            </w:r>
          </w:p>
        </w:tc>
        <w:tc>
          <w:tcPr>
            <w:tcW w:w="4681" w:type="dxa"/>
            <w:vAlign w:val="top"/>
          </w:tcPr>
          <w:p>
            <w:pPr>
              <w:pStyle w:val="TableText"/>
              <w:ind w:left="112"/>
              <w:spacing w:before="30" w:line="205" w:lineRule="auto"/>
              <w:rPr/>
            </w:pPr>
            <w:r>
              <w:rPr>
                <w:spacing w:val="-1"/>
              </w:rPr>
              <w:t>追溯单元编码、追溯码与追溯信息的关联等</w:t>
            </w:r>
          </w:p>
        </w:tc>
      </w:tr>
      <w:tr>
        <w:trPr>
          <w:trHeight w:val="237" w:hRule="atLeast"/>
        </w:trPr>
        <w:tc>
          <w:tcPr>
            <w:tcW w:w="4680" w:type="dxa"/>
            <w:vAlign w:val="top"/>
          </w:tcPr>
          <w:p>
            <w:pPr>
              <w:pStyle w:val="TableText"/>
              <w:ind w:left="1805"/>
              <w:spacing w:before="30" w:line="202" w:lineRule="auto"/>
              <w:rPr/>
            </w:pPr>
            <w:r>
              <w:rPr>
                <w:spacing w:val="-2"/>
              </w:rPr>
              <w:t>标识管理信息</w:t>
            </w:r>
          </w:p>
        </w:tc>
        <w:tc>
          <w:tcPr>
            <w:tcW w:w="4681" w:type="dxa"/>
            <w:vAlign w:val="top"/>
          </w:tcPr>
          <w:p>
            <w:pPr>
              <w:pStyle w:val="TableText"/>
              <w:ind w:left="113"/>
              <w:spacing w:before="30" w:line="202" w:lineRule="auto"/>
              <w:rPr/>
            </w:pPr>
            <w:r>
              <w:rPr>
                <w:spacing w:val="-1"/>
              </w:rPr>
              <w:t>标识载体、标识加施位置、标识防伪信息等</w:t>
            </w:r>
          </w:p>
        </w:tc>
      </w:tr>
      <w:tr>
        <w:trPr>
          <w:trHeight w:val="240" w:hRule="atLeast"/>
        </w:trPr>
        <w:tc>
          <w:tcPr>
            <w:tcW w:w="4680" w:type="dxa"/>
            <w:vAlign w:val="top"/>
          </w:tcPr>
          <w:p>
            <w:pPr>
              <w:pStyle w:val="TableText"/>
              <w:ind w:left="1987"/>
              <w:spacing w:before="31" w:line="204" w:lineRule="auto"/>
              <w:rPr/>
            </w:pPr>
            <w:r>
              <w:rPr>
                <w:spacing w:val="-2"/>
              </w:rPr>
              <w:t>交易信息</w:t>
            </w:r>
          </w:p>
        </w:tc>
        <w:tc>
          <w:tcPr>
            <w:tcW w:w="4681" w:type="dxa"/>
            <w:vAlign w:val="top"/>
          </w:tcPr>
          <w:p>
            <w:pPr>
              <w:pStyle w:val="TableText"/>
              <w:ind w:left="116"/>
              <w:spacing w:before="31" w:line="204" w:lineRule="auto"/>
              <w:rPr/>
            </w:pPr>
            <w:r>
              <w:rPr>
                <w:spacing w:val="-1"/>
              </w:rPr>
              <w:t>交易双方信息、交易时间、交易数量等</w:t>
            </w:r>
          </w:p>
        </w:tc>
      </w:tr>
      <w:tr>
        <w:trPr>
          <w:trHeight w:val="242" w:hRule="atLeast"/>
        </w:trPr>
        <w:tc>
          <w:tcPr>
            <w:tcW w:w="4680" w:type="dxa"/>
            <w:vAlign w:val="top"/>
          </w:tcPr>
          <w:p>
            <w:pPr>
              <w:pStyle w:val="TableText"/>
              <w:ind w:left="1804"/>
              <w:spacing w:before="30" w:line="207" w:lineRule="auto"/>
              <w:rPr/>
            </w:pPr>
            <w:r>
              <w:rPr>
                <w:spacing w:val="-1"/>
              </w:rPr>
              <w:t>应急管理信息</w:t>
            </w:r>
          </w:p>
        </w:tc>
        <w:tc>
          <w:tcPr>
            <w:tcW w:w="4681" w:type="dxa"/>
            <w:vAlign w:val="top"/>
          </w:tcPr>
          <w:p>
            <w:pPr>
              <w:pStyle w:val="TableText"/>
              <w:ind w:left="112"/>
              <w:spacing w:before="30" w:line="207" w:lineRule="auto"/>
              <w:rPr/>
            </w:pPr>
            <w:r>
              <w:rPr>
                <w:spacing w:val="-1"/>
              </w:rPr>
              <w:t>应急事件相关信息、召回信息等</w:t>
            </w:r>
          </w:p>
        </w:tc>
      </w:tr>
    </w:tbl>
    <w:p>
      <w:pPr>
        <w:pStyle w:val="BodyText"/>
        <w:spacing w:line="463" w:lineRule="auto"/>
        <w:rPr/>
      </w:pPr>
      <w:r/>
    </w:p>
    <w:p>
      <w:pPr>
        <w:ind w:left="13"/>
        <w:spacing w:before="59" w:line="219" w:lineRule="auto"/>
        <w:rPr>
          <w:rFonts w:ascii="SimSun" w:hAnsi="SimSun" w:eastAsia="SimSun" w:cs="SimSun"/>
          <w:sz w:val="18"/>
          <w:szCs w:val="18"/>
        </w:rPr>
      </w:pPr>
      <w:r>
        <w:rPr>
          <w:rFonts w:ascii="SimHei" w:hAnsi="SimHei" w:eastAsia="SimHei" w:cs="SimHei"/>
          <w:sz w:val="18"/>
          <w:szCs w:val="18"/>
          <w:spacing w:val="-1"/>
        </w:rPr>
        <w:t>注：</w:t>
      </w:r>
      <w:r>
        <w:rPr>
          <w:rFonts w:ascii="SimSun" w:hAnsi="SimSun" w:eastAsia="SimSun" w:cs="SimSun"/>
          <w:sz w:val="18"/>
          <w:szCs w:val="18"/>
          <w:spacing w:val="-1"/>
        </w:rPr>
        <w:t>组织应根据产品特点、追溯要求和追溯环节的实际情况确定所需采集和记录的追溯信息。</w:t>
      </w:r>
    </w:p>
    <w:p>
      <w:pPr>
        <w:spacing w:line="219" w:lineRule="auto"/>
        <w:sectPr>
          <w:footerReference w:type="default" r:id="rId30"/>
          <w:pgSz w:w="11907" w:h="16839"/>
          <w:pgMar w:top="1028" w:right="1128" w:bottom="880" w:left="1411" w:header="703" w:footer="680" w:gutter="0"/>
        </w:sectPr>
        <w:rPr>
          <w:rFonts w:ascii="SimSun" w:hAnsi="SimSun" w:eastAsia="SimSun" w:cs="SimSun"/>
          <w:sz w:val="18"/>
          <w:szCs w:val="18"/>
        </w:rPr>
      </w:pPr>
    </w:p>
    <w:p>
      <w:pPr>
        <w:ind w:left="4395"/>
        <w:spacing w:before="135" w:line="220" w:lineRule="auto"/>
        <w:outlineLvl w:val="0"/>
        <w:rPr>
          <w:rFonts w:ascii="Times New Roman" w:hAnsi="Times New Roman" w:eastAsia="Times New Roman" w:cs="Times New Roman"/>
          <w:sz w:val="21"/>
          <w:szCs w:val="21"/>
        </w:rPr>
      </w:pPr>
      <w:bookmarkStart w:name="bookmark43" w:id="52"/>
      <w:bookmarkEnd w:id="52"/>
      <w:r>
        <w:rPr>
          <w:rFonts w:ascii="SimHei" w:hAnsi="SimHei" w:eastAsia="SimHei" w:cs="SimHei"/>
          <w:sz w:val="21"/>
          <w:szCs w:val="21"/>
          <w:spacing w:val="-6"/>
        </w:rPr>
        <w:t>附录</w:t>
      </w:r>
      <w:r>
        <w:rPr>
          <w:rFonts w:ascii="SimHei" w:hAnsi="SimHei" w:eastAsia="SimHei" w:cs="SimHei"/>
          <w:sz w:val="21"/>
          <w:szCs w:val="21"/>
          <w:spacing w:val="-47"/>
        </w:rPr>
        <w:t xml:space="preserve"> </w:t>
      </w:r>
      <w:r>
        <w:rPr>
          <w:rFonts w:ascii="Times New Roman" w:hAnsi="Times New Roman" w:eastAsia="Times New Roman" w:cs="Times New Roman"/>
          <w:sz w:val="21"/>
          <w:szCs w:val="21"/>
          <w:spacing w:val="-6"/>
        </w:rPr>
        <w:t>C</w:t>
      </w:r>
    </w:p>
    <w:p>
      <w:pPr>
        <w:ind w:left="4180"/>
        <w:spacing w:before="105" w:line="220" w:lineRule="auto"/>
        <w:outlineLvl w:val="0"/>
        <w:rPr>
          <w:rFonts w:ascii="SimHei" w:hAnsi="SimHei" w:eastAsia="SimHei" w:cs="SimHei"/>
          <w:sz w:val="21"/>
          <w:szCs w:val="21"/>
        </w:rPr>
      </w:pPr>
      <w:bookmarkStart w:name="bookmark43" w:id="53"/>
      <w:bookmarkEnd w:id="53"/>
      <w:r>
        <w:rPr>
          <w:rFonts w:ascii="SimHei" w:hAnsi="SimHei" w:eastAsia="SimHei" w:cs="SimHei"/>
          <w:sz w:val="21"/>
          <w:szCs w:val="21"/>
          <w:spacing w:val="-7"/>
        </w:rPr>
        <w:t>（资料性）</w:t>
      </w:r>
    </w:p>
    <w:p>
      <w:pPr>
        <w:ind w:left="3117"/>
        <w:spacing w:before="104" w:line="220" w:lineRule="auto"/>
        <w:outlineLvl w:val="0"/>
        <w:rPr>
          <w:rFonts w:ascii="SimHei" w:hAnsi="SimHei" w:eastAsia="SimHei" w:cs="SimHei"/>
          <w:sz w:val="21"/>
          <w:szCs w:val="21"/>
        </w:rPr>
      </w:pPr>
      <w:bookmarkStart w:name="bookmark43" w:id="54"/>
      <w:bookmarkEnd w:id="54"/>
      <w:r>
        <w:rPr>
          <w:rFonts w:ascii="SimHei" w:hAnsi="SimHei" w:eastAsia="SimHei" w:cs="SimHei"/>
          <w:sz w:val="21"/>
          <w:szCs w:val="21"/>
          <w:spacing w:val="-1"/>
        </w:rPr>
        <w:t>可追溯管理体系成文信息清单参考</w:t>
      </w:r>
    </w:p>
    <w:p>
      <w:pPr>
        <w:ind w:left="435"/>
        <w:spacing w:before="300" w:line="234" w:lineRule="auto"/>
        <w:rPr>
          <w:rFonts w:ascii="SimSun" w:hAnsi="SimSun" w:eastAsia="SimSun" w:cs="SimSun"/>
          <w:sz w:val="21"/>
          <w:szCs w:val="21"/>
        </w:rPr>
      </w:pPr>
      <w:r>
        <w:rPr>
          <w:rFonts w:ascii="SimSun" w:hAnsi="SimSun" w:eastAsia="SimSun" w:cs="SimSun"/>
          <w:sz w:val="21"/>
          <w:szCs w:val="21"/>
          <w:spacing w:val="-1"/>
        </w:rPr>
        <w:t>组织可参照表</w:t>
      </w:r>
      <w:r>
        <w:rPr>
          <w:rFonts w:ascii="SimSun" w:hAnsi="SimSun" w:eastAsia="SimSun" w:cs="SimSun"/>
          <w:sz w:val="21"/>
          <w:szCs w:val="21"/>
          <w:spacing w:val="-46"/>
        </w:rPr>
        <w:t xml:space="preserve"> </w:t>
      </w:r>
      <w:r>
        <w:rPr>
          <w:rFonts w:ascii="Times New Roman" w:hAnsi="Times New Roman" w:eastAsia="Times New Roman" w:cs="Times New Roman"/>
          <w:sz w:val="21"/>
          <w:szCs w:val="21"/>
          <w:spacing w:val="-1"/>
        </w:rPr>
        <w:t>C.1 </w:t>
      </w:r>
      <w:r>
        <w:rPr>
          <w:rFonts w:ascii="SimSun" w:hAnsi="SimSun" w:eastAsia="SimSun" w:cs="SimSun"/>
          <w:sz w:val="21"/>
          <w:szCs w:val="21"/>
          <w:spacing w:val="-1"/>
        </w:rPr>
        <w:t>保持可追溯管理体系的成文信息。</w:t>
      </w:r>
    </w:p>
    <w:p>
      <w:pPr>
        <w:pStyle w:val="BodyText"/>
        <w:spacing w:line="242" w:lineRule="auto"/>
        <w:rPr/>
      </w:pPr>
      <w:r/>
    </w:p>
    <w:p>
      <w:pPr>
        <w:ind w:left="2900"/>
        <w:spacing w:before="58" w:line="233" w:lineRule="auto"/>
        <w:rPr>
          <w:rFonts w:ascii="SimHei" w:hAnsi="SimHei" w:eastAsia="SimHei" w:cs="SimHei"/>
          <w:sz w:val="18"/>
          <w:szCs w:val="18"/>
        </w:rPr>
      </w:pPr>
      <w:r>
        <w:rPr>
          <w:rFonts w:ascii="SimHei" w:hAnsi="SimHei" w:eastAsia="SimHei" w:cs="SimHei"/>
          <w:sz w:val="18"/>
          <w:szCs w:val="18"/>
          <w:spacing w:val="-3"/>
        </w:rPr>
        <w:t>表</w:t>
      </w:r>
      <w:r>
        <w:rPr>
          <w:rFonts w:ascii="SimHei" w:hAnsi="SimHei" w:eastAsia="SimHei" w:cs="SimHei"/>
          <w:sz w:val="18"/>
          <w:szCs w:val="18"/>
          <w:spacing w:val="-20"/>
        </w:rPr>
        <w:t xml:space="preserve"> </w:t>
      </w:r>
      <w:r>
        <w:rPr>
          <w:rFonts w:ascii="Times New Roman" w:hAnsi="Times New Roman" w:eastAsia="Times New Roman" w:cs="Times New Roman"/>
          <w:sz w:val="18"/>
          <w:szCs w:val="18"/>
          <w:spacing w:val="-3"/>
        </w:rPr>
        <w:t>C.1</w:t>
      </w:r>
      <w:r>
        <w:rPr>
          <w:rFonts w:ascii="Times New Roman" w:hAnsi="Times New Roman" w:eastAsia="Times New Roman" w:cs="Times New Roman"/>
          <w:sz w:val="18"/>
          <w:szCs w:val="18"/>
          <w:spacing w:val="12"/>
        </w:rPr>
        <w:t xml:space="preserve"> </w:t>
      </w:r>
      <w:r>
        <w:rPr>
          <w:rFonts w:ascii="SimHei" w:hAnsi="SimHei" w:eastAsia="SimHei" w:cs="SimHei"/>
          <w:sz w:val="18"/>
          <w:szCs w:val="18"/>
          <w:spacing w:val="-3"/>
        </w:rPr>
        <w:t>可追溯管理体系成文信息清单（示例）</w:t>
      </w:r>
    </w:p>
    <w:p>
      <w:pPr>
        <w:spacing w:line="91" w:lineRule="exact"/>
        <w:rPr/>
      </w:pPr>
      <w:r/>
    </w:p>
    <w:tbl>
      <w:tblPr>
        <w:tblStyle w:val="TableNormal"/>
        <w:tblW w:w="9361"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121"/>
        <w:gridCol w:w="3116"/>
        <w:gridCol w:w="3124"/>
      </w:tblGrid>
      <w:tr>
        <w:trPr>
          <w:trHeight w:val="244" w:hRule="atLeast"/>
        </w:trPr>
        <w:tc>
          <w:tcPr>
            <w:tcW w:w="3121" w:type="dxa"/>
            <w:vAlign w:val="top"/>
          </w:tcPr>
          <w:p>
            <w:pPr>
              <w:ind w:left="1384"/>
              <w:spacing w:before="32" w:line="207" w:lineRule="auto"/>
              <w:rPr>
                <w:rFonts w:ascii="SimHei" w:hAnsi="SimHei" w:eastAsia="SimHei" w:cs="SimHei"/>
                <w:sz w:val="18"/>
                <w:szCs w:val="18"/>
              </w:rPr>
            </w:pPr>
            <w:r>
              <w:rPr>
                <w:rFonts w:ascii="SimHei" w:hAnsi="SimHei" w:eastAsia="SimHei" w:cs="SimHei"/>
                <w:sz w:val="18"/>
                <w:szCs w:val="18"/>
                <w:spacing w:val="-2"/>
              </w:rPr>
              <w:t>序号</w:t>
            </w:r>
          </w:p>
        </w:tc>
        <w:tc>
          <w:tcPr>
            <w:tcW w:w="3116" w:type="dxa"/>
            <w:vAlign w:val="top"/>
          </w:tcPr>
          <w:p>
            <w:pPr>
              <w:ind w:left="1202"/>
              <w:spacing w:before="32" w:line="207" w:lineRule="auto"/>
              <w:rPr>
                <w:rFonts w:ascii="SimHei" w:hAnsi="SimHei" w:eastAsia="SimHei" w:cs="SimHei"/>
                <w:sz w:val="18"/>
                <w:szCs w:val="18"/>
              </w:rPr>
            </w:pPr>
            <w:r>
              <w:rPr>
                <w:rFonts w:ascii="SimHei" w:hAnsi="SimHei" w:eastAsia="SimHei" w:cs="SimHei"/>
                <w:sz w:val="18"/>
                <w:szCs w:val="18"/>
                <w:spacing w:val="-2"/>
              </w:rPr>
              <w:t>成文信息</w:t>
            </w:r>
          </w:p>
        </w:tc>
        <w:tc>
          <w:tcPr>
            <w:tcW w:w="3124" w:type="dxa"/>
            <w:vAlign w:val="top"/>
          </w:tcPr>
          <w:p>
            <w:pPr>
              <w:ind w:left="1117"/>
              <w:spacing w:before="32" w:line="207" w:lineRule="auto"/>
              <w:rPr>
                <w:rFonts w:ascii="SimHei" w:hAnsi="SimHei" w:eastAsia="SimHei" w:cs="SimHei"/>
                <w:sz w:val="18"/>
                <w:szCs w:val="18"/>
              </w:rPr>
            </w:pPr>
            <w:r>
              <w:rPr>
                <w:rFonts w:ascii="SimHei" w:hAnsi="SimHei" w:eastAsia="SimHei" w:cs="SimHei"/>
                <w:sz w:val="18"/>
                <w:szCs w:val="18"/>
                <w:spacing w:val="-2"/>
              </w:rPr>
              <w:t>本文件条款</w:t>
            </w:r>
          </w:p>
        </w:tc>
      </w:tr>
      <w:tr>
        <w:trPr>
          <w:trHeight w:val="237" w:hRule="atLeast"/>
        </w:trPr>
        <w:tc>
          <w:tcPr>
            <w:tcW w:w="3121" w:type="dxa"/>
            <w:vAlign w:val="top"/>
          </w:tcPr>
          <w:p>
            <w:pPr>
              <w:ind w:left="1532"/>
              <w:spacing w:before="57"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3116" w:type="dxa"/>
            <w:vAlign w:val="top"/>
          </w:tcPr>
          <w:p>
            <w:pPr>
              <w:pStyle w:val="TableText"/>
              <w:ind w:left="1203"/>
              <w:spacing w:before="26" w:line="206" w:lineRule="auto"/>
              <w:rPr/>
            </w:pPr>
            <w:r>
              <w:rPr>
                <w:spacing w:val="-2"/>
              </w:rPr>
              <w:t>追溯方针</w:t>
            </w:r>
          </w:p>
        </w:tc>
        <w:tc>
          <w:tcPr>
            <w:tcW w:w="3124" w:type="dxa"/>
            <w:vAlign w:val="top"/>
          </w:tcPr>
          <w:p>
            <w:pPr>
              <w:ind w:left="1455"/>
              <w:spacing w:before="57"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5.2</w:t>
            </w:r>
          </w:p>
        </w:tc>
      </w:tr>
      <w:tr>
        <w:trPr>
          <w:trHeight w:val="239" w:hRule="atLeast"/>
        </w:trPr>
        <w:tc>
          <w:tcPr>
            <w:tcW w:w="3121" w:type="dxa"/>
            <w:vAlign w:val="top"/>
          </w:tcPr>
          <w:p>
            <w:pPr>
              <w:ind w:left="1515"/>
              <w:spacing w:before="58" w:line="19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3116" w:type="dxa"/>
            <w:vAlign w:val="top"/>
          </w:tcPr>
          <w:p>
            <w:pPr>
              <w:pStyle w:val="TableText"/>
              <w:ind w:left="1203"/>
              <w:spacing w:before="26" w:line="208" w:lineRule="auto"/>
              <w:rPr/>
            </w:pPr>
            <w:r>
              <w:rPr>
                <w:spacing w:val="-2"/>
              </w:rPr>
              <w:t>追溯目标</w:t>
            </w:r>
          </w:p>
        </w:tc>
        <w:tc>
          <w:tcPr>
            <w:tcW w:w="3124" w:type="dxa"/>
            <w:vAlign w:val="top"/>
          </w:tcPr>
          <w:p>
            <w:pPr>
              <w:ind w:left="1454"/>
              <w:spacing w:before="58" w:line="19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6.2</w:t>
            </w:r>
          </w:p>
        </w:tc>
      </w:tr>
      <w:tr>
        <w:trPr>
          <w:trHeight w:val="237" w:hRule="atLeast"/>
        </w:trPr>
        <w:tc>
          <w:tcPr>
            <w:tcW w:w="3121" w:type="dxa"/>
            <w:vAlign w:val="top"/>
          </w:tcPr>
          <w:p>
            <w:pPr>
              <w:ind w:left="1519"/>
              <w:spacing w:before="57" w:line="197"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3116" w:type="dxa"/>
            <w:vAlign w:val="top"/>
          </w:tcPr>
          <w:p>
            <w:pPr>
              <w:pStyle w:val="TableText"/>
              <w:ind w:left="756"/>
              <w:spacing w:before="27" w:line="205" w:lineRule="auto"/>
              <w:rPr/>
            </w:pPr>
            <w:r>
              <w:rPr>
                <w:spacing w:val="-1"/>
              </w:rPr>
              <w:t>可追溯管理体系范围</w:t>
            </w:r>
          </w:p>
        </w:tc>
        <w:tc>
          <w:tcPr>
            <w:tcW w:w="3124" w:type="dxa"/>
            <w:vAlign w:val="top"/>
          </w:tcPr>
          <w:p>
            <w:pPr>
              <w:ind w:left="1449"/>
              <w:spacing w:before="57" w:line="197"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
              </w:rPr>
              <w:t>4.3</w:t>
            </w:r>
          </w:p>
        </w:tc>
      </w:tr>
      <w:tr>
        <w:trPr>
          <w:trHeight w:val="239" w:hRule="atLeast"/>
        </w:trPr>
        <w:tc>
          <w:tcPr>
            <w:tcW w:w="3121" w:type="dxa"/>
            <w:vAlign w:val="top"/>
          </w:tcPr>
          <w:p>
            <w:pPr>
              <w:ind w:left="1514"/>
              <w:spacing w:before="59"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3116" w:type="dxa"/>
            <w:vAlign w:val="top"/>
          </w:tcPr>
          <w:p>
            <w:pPr>
              <w:pStyle w:val="TableText"/>
              <w:ind w:left="114"/>
              <w:spacing w:before="27" w:line="207" w:lineRule="auto"/>
              <w:rPr/>
            </w:pPr>
            <w:r>
              <w:rPr>
                <w:spacing w:val="-1"/>
              </w:rPr>
              <w:t>追溯计划及追溯体系设计记录</w:t>
            </w:r>
          </w:p>
        </w:tc>
        <w:tc>
          <w:tcPr>
            <w:tcW w:w="3124" w:type="dxa"/>
            <w:vAlign w:val="top"/>
          </w:tcPr>
          <w:p>
            <w:pPr>
              <w:ind w:left="1454"/>
              <w:spacing w:before="59" w:line="19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6.3</w:t>
            </w:r>
          </w:p>
        </w:tc>
      </w:tr>
      <w:tr>
        <w:trPr>
          <w:trHeight w:val="470" w:hRule="atLeast"/>
        </w:trPr>
        <w:tc>
          <w:tcPr>
            <w:tcW w:w="3121" w:type="dxa"/>
            <w:vAlign w:val="top"/>
          </w:tcPr>
          <w:p>
            <w:pPr>
              <w:ind w:left="1520"/>
              <w:spacing w:before="17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3116" w:type="dxa"/>
            <w:vAlign w:val="top"/>
          </w:tcPr>
          <w:p>
            <w:pPr>
              <w:pStyle w:val="TableText"/>
              <w:ind w:left="114" w:right="123"/>
              <w:spacing w:before="29" w:line="221" w:lineRule="auto"/>
              <w:rPr/>
            </w:pPr>
            <w:r>
              <w:rPr>
                <w:spacing w:val="-1"/>
              </w:rPr>
              <w:t>追溯单元与追溯码确定及标识管理记</w:t>
            </w:r>
            <w:r>
              <w:rPr/>
              <w:t>录</w:t>
            </w:r>
          </w:p>
        </w:tc>
        <w:tc>
          <w:tcPr>
            <w:tcW w:w="3124" w:type="dxa"/>
            <w:vAlign w:val="top"/>
          </w:tcPr>
          <w:p>
            <w:pPr>
              <w:ind w:left="1457"/>
              <w:spacing w:before="176" w:line="232"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8.2</w:t>
            </w:r>
          </w:p>
        </w:tc>
      </w:tr>
      <w:tr>
        <w:trPr>
          <w:trHeight w:val="239" w:hRule="atLeast"/>
        </w:trPr>
        <w:tc>
          <w:tcPr>
            <w:tcW w:w="3121" w:type="dxa"/>
            <w:vAlign w:val="top"/>
          </w:tcPr>
          <w:p>
            <w:pPr>
              <w:ind w:left="1519"/>
              <w:spacing w:before="61"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3116" w:type="dxa"/>
            <w:vAlign w:val="top"/>
          </w:tcPr>
          <w:p>
            <w:pPr>
              <w:pStyle w:val="TableText"/>
              <w:ind w:left="1023"/>
              <w:spacing w:before="29" w:line="205" w:lineRule="auto"/>
              <w:rPr/>
            </w:pPr>
            <w:r>
              <w:rPr>
                <w:spacing w:val="-1"/>
              </w:rPr>
              <w:t>追溯信息记录</w:t>
            </w:r>
          </w:p>
        </w:tc>
        <w:tc>
          <w:tcPr>
            <w:tcW w:w="3124" w:type="dxa"/>
            <w:vAlign w:val="top"/>
          </w:tcPr>
          <w:p>
            <w:pPr>
              <w:ind w:left="1457"/>
              <w:spacing w:before="61"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8.3</w:t>
            </w:r>
          </w:p>
        </w:tc>
      </w:tr>
      <w:tr>
        <w:trPr>
          <w:trHeight w:val="237" w:hRule="atLeast"/>
        </w:trPr>
        <w:tc>
          <w:tcPr>
            <w:tcW w:w="3121" w:type="dxa"/>
            <w:vAlign w:val="top"/>
          </w:tcPr>
          <w:p>
            <w:pPr>
              <w:ind w:left="1518"/>
              <w:spacing w:before="59"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3116" w:type="dxa"/>
            <w:vAlign w:val="top"/>
          </w:tcPr>
          <w:p>
            <w:pPr>
              <w:pStyle w:val="TableText"/>
              <w:ind w:left="114"/>
              <w:spacing w:before="30" w:line="202" w:lineRule="auto"/>
              <w:rPr/>
            </w:pPr>
            <w:r>
              <w:rPr>
                <w:spacing w:val="-1"/>
              </w:rPr>
              <w:t>追溯系统运行与数据管理记录</w:t>
            </w:r>
          </w:p>
        </w:tc>
        <w:tc>
          <w:tcPr>
            <w:tcW w:w="3124" w:type="dxa"/>
            <w:vAlign w:val="top"/>
          </w:tcPr>
          <w:p>
            <w:pPr>
              <w:ind w:left="1457"/>
              <w:spacing w:before="59"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8.4</w:t>
            </w:r>
          </w:p>
        </w:tc>
      </w:tr>
      <w:tr>
        <w:trPr>
          <w:trHeight w:val="240" w:hRule="atLeast"/>
        </w:trPr>
        <w:tc>
          <w:tcPr>
            <w:tcW w:w="3121" w:type="dxa"/>
            <w:vAlign w:val="top"/>
          </w:tcPr>
          <w:p>
            <w:pPr>
              <w:ind w:left="1522"/>
              <w:spacing w:before="62"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3116" w:type="dxa"/>
            <w:vAlign w:val="top"/>
          </w:tcPr>
          <w:p>
            <w:pPr>
              <w:pStyle w:val="TableText"/>
              <w:ind w:left="755"/>
              <w:spacing w:before="30" w:line="205" w:lineRule="auto"/>
              <w:rPr/>
            </w:pPr>
            <w:r>
              <w:rPr>
                <w:spacing w:val="-1"/>
              </w:rPr>
              <w:t>追溯演练计划和结果</w:t>
            </w:r>
          </w:p>
        </w:tc>
        <w:tc>
          <w:tcPr>
            <w:tcW w:w="3124" w:type="dxa"/>
            <w:vAlign w:val="top"/>
          </w:tcPr>
          <w:p>
            <w:pPr>
              <w:ind w:left="1457"/>
              <w:spacing w:before="62"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8.5</w:t>
            </w:r>
          </w:p>
        </w:tc>
      </w:tr>
      <w:tr>
        <w:trPr>
          <w:trHeight w:val="237" w:hRule="atLeast"/>
        </w:trPr>
        <w:tc>
          <w:tcPr>
            <w:tcW w:w="3121" w:type="dxa"/>
            <w:vAlign w:val="top"/>
          </w:tcPr>
          <w:p>
            <w:pPr>
              <w:ind w:left="1518"/>
              <w:spacing w:before="59"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tc>
        <w:tc>
          <w:tcPr>
            <w:tcW w:w="3116" w:type="dxa"/>
            <w:vAlign w:val="top"/>
          </w:tcPr>
          <w:p>
            <w:pPr>
              <w:pStyle w:val="TableText"/>
              <w:ind w:left="1030"/>
              <w:spacing w:before="30" w:line="202" w:lineRule="auto"/>
              <w:rPr/>
            </w:pPr>
            <w:r>
              <w:rPr>
                <w:spacing w:val="-2"/>
              </w:rPr>
              <w:t>召回管理记录</w:t>
            </w:r>
          </w:p>
        </w:tc>
        <w:tc>
          <w:tcPr>
            <w:tcW w:w="3124" w:type="dxa"/>
            <w:vAlign w:val="top"/>
          </w:tcPr>
          <w:p>
            <w:pPr>
              <w:ind w:left="1457"/>
              <w:spacing w:before="59"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8.6</w:t>
            </w:r>
          </w:p>
        </w:tc>
      </w:tr>
      <w:tr>
        <w:trPr>
          <w:trHeight w:val="237" w:hRule="atLeast"/>
        </w:trPr>
        <w:tc>
          <w:tcPr>
            <w:tcW w:w="3121" w:type="dxa"/>
            <w:vAlign w:val="top"/>
          </w:tcPr>
          <w:p>
            <w:pPr>
              <w:ind w:left="1489"/>
              <w:spacing w:before="62" w:line="191"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10</w:t>
            </w:r>
          </w:p>
        </w:tc>
        <w:tc>
          <w:tcPr>
            <w:tcW w:w="3116" w:type="dxa"/>
            <w:vAlign w:val="top"/>
          </w:tcPr>
          <w:p>
            <w:pPr>
              <w:pStyle w:val="TableText"/>
              <w:ind w:left="121"/>
              <w:spacing w:before="30" w:line="202" w:lineRule="auto"/>
              <w:rPr/>
            </w:pPr>
            <w:r>
              <w:rPr>
                <w:spacing w:val="-3"/>
              </w:rPr>
              <w:t>能力证据（培训记录等）</w:t>
            </w:r>
          </w:p>
        </w:tc>
        <w:tc>
          <w:tcPr>
            <w:tcW w:w="3124" w:type="dxa"/>
            <w:vAlign w:val="top"/>
          </w:tcPr>
          <w:p>
            <w:pPr>
              <w:ind w:left="1453"/>
              <w:spacing w:before="62" w:line="191"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7.2</w:t>
            </w:r>
          </w:p>
        </w:tc>
      </w:tr>
      <w:tr>
        <w:trPr>
          <w:trHeight w:val="240" w:hRule="atLeast"/>
        </w:trPr>
        <w:tc>
          <w:tcPr>
            <w:tcW w:w="3121" w:type="dxa"/>
            <w:vAlign w:val="top"/>
          </w:tcPr>
          <w:p>
            <w:pPr>
              <w:ind w:left="1489"/>
              <w:spacing w:before="62"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11</w:t>
            </w:r>
          </w:p>
        </w:tc>
        <w:tc>
          <w:tcPr>
            <w:tcW w:w="3116" w:type="dxa"/>
            <w:vAlign w:val="top"/>
          </w:tcPr>
          <w:p>
            <w:pPr>
              <w:pStyle w:val="TableText"/>
              <w:ind w:left="115"/>
              <w:spacing w:before="33" w:line="202" w:lineRule="auto"/>
              <w:rPr/>
            </w:pPr>
            <w:r>
              <w:rPr>
                <w:spacing w:val="-1"/>
              </w:rPr>
              <w:t>监视测量与分析评价结果</w:t>
            </w:r>
          </w:p>
        </w:tc>
        <w:tc>
          <w:tcPr>
            <w:tcW w:w="3124" w:type="dxa"/>
            <w:vAlign w:val="top"/>
          </w:tcPr>
          <w:p>
            <w:pPr>
              <w:ind w:left="1453"/>
              <w:spacing w:before="62" w:line="194"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9.1</w:t>
            </w:r>
          </w:p>
        </w:tc>
      </w:tr>
      <w:tr>
        <w:trPr>
          <w:trHeight w:val="237" w:hRule="atLeast"/>
        </w:trPr>
        <w:tc>
          <w:tcPr>
            <w:tcW w:w="3121" w:type="dxa"/>
            <w:vAlign w:val="top"/>
          </w:tcPr>
          <w:p>
            <w:pPr>
              <w:ind w:left="1489"/>
              <w:spacing w:before="63" w:line="19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12</w:t>
            </w:r>
          </w:p>
        </w:tc>
        <w:tc>
          <w:tcPr>
            <w:tcW w:w="3116" w:type="dxa"/>
            <w:vAlign w:val="top"/>
          </w:tcPr>
          <w:p>
            <w:pPr>
              <w:pStyle w:val="TableText"/>
              <w:ind w:left="776"/>
              <w:spacing w:before="31" w:line="201" w:lineRule="auto"/>
              <w:rPr/>
            </w:pPr>
            <w:r>
              <w:rPr>
                <w:spacing w:val="-3"/>
              </w:rPr>
              <w:t>内部审核方案和结果</w:t>
            </w:r>
          </w:p>
        </w:tc>
        <w:tc>
          <w:tcPr>
            <w:tcW w:w="3124" w:type="dxa"/>
            <w:vAlign w:val="top"/>
          </w:tcPr>
          <w:p>
            <w:pPr>
              <w:ind w:left="1453"/>
              <w:spacing w:before="63" w:line="19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9.2</w:t>
            </w:r>
          </w:p>
        </w:tc>
      </w:tr>
      <w:tr>
        <w:trPr>
          <w:trHeight w:val="240" w:hRule="atLeast"/>
        </w:trPr>
        <w:tc>
          <w:tcPr>
            <w:tcW w:w="3121" w:type="dxa"/>
            <w:vAlign w:val="top"/>
          </w:tcPr>
          <w:p>
            <w:pPr>
              <w:ind w:left="1489"/>
              <w:spacing w:before="63"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13</w:t>
            </w:r>
          </w:p>
        </w:tc>
        <w:tc>
          <w:tcPr>
            <w:tcW w:w="3116" w:type="dxa"/>
            <w:vAlign w:val="top"/>
          </w:tcPr>
          <w:p>
            <w:pPr>
              <w:pStyle w:val="TableText"/>
              <w:ind w:left="1028"/>
              <w:spacing w:before="33" w:line="202" w:lineRule="auto"/>
              <w:rPr/>
            </w:pPr>
            <w:r>
              <w:rPr>
                <w:spacing w:val="-2"/>
              </w:rPr>
              <w:t>管理评审结果</w:t>
            </w:r>
          </w:p>
        </w:tc>
        <w:tc>
          <w:tcPr>
            <w:tcW w:w="3124" w:type="dxa"/>
            <w:vAlign w:val="top"/>
          </w:tcPr>
          <w:p>
            <w:pPr>
              <w:ind w:left="1453"/>
              <w:spacing w:before="63" w:line="193"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2"/>
              </w:rPr>
              <w:t>9.3</w:t>
            </w:r>
          </w:p>
        </w:tc>
      </w:tr>
      <w:tr>
        <w:trPr>
          <w:trHeight w:val="242" w:hRule="atLeast"/>
        </w:trPr>
        <w:tc>
          <w:tcPr>
            <w:tcW w:w="3121" w:type="dxa"/>
            <w:vAlign w:val="top"/>
          </w:tcPr>
          <w:p>
            <w:pPr>
              <w:ind w:left="1489"/>
              <w:spacing w:before="60" w:line="199"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14</w:t>
            </w:r>
          </w:p>
        </w:tc>
        <w:tc>
          <w:tcPr>
            <w:tcW w:w="3116" w:type="dxa"/>
            <w:vAlign w:val="top"/>
          </w:tcPr>
          <w:p>
            <w:pPr>
              <w:pStyle w:val="TableText"/>
              <w:ind w:left="666"/>
              <w:spacing w:before="31" w:line="206" w:lineRule="auto"/>
              <w:rPr/>
            </w:pPr>
            <w:r>
              <w:rPr>
                <w:spacing w:val="-1"/>
              </w:rPr>
              <w:t>不符合及纠正措施记录</w:t>
            </w:r>
          </w:p>
        </w:tc>
        <w:tc>
          <w:tcPr>
            <w:tcW w:w="3124" w:type="dxa"/>
            <w:vAlign w:val="top"/>
          </w:tcPr>
          <w:p>
            <w:pPr>
              <w:ind w:left="1424"/>
              <w:spacing w:before="60" w:line="199"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10.2</w:t>
            </w:r>
          </w:p>
        </w:tc>
      </w:tr>
    </w:tbl>
    <w:p>
      <w:pPr>
        <w:pStyle w:val="BodyText"/>
        <w:spacing w:line="463" w:lineRule="auto"/>
        <w:rPr/>
      </w:pPr>
      <w:r/>
    </w:p>
    <w:p>
      <w:pPr>
        <w:ind w:left="13"/>
        <w:spacing w:before="59" w:line="219" w:lineRule="auto"/>
        <w:rPr>
          <w:rFonts w:ascii="SimSun" w:hAnsi="SimSun" w:eastAsia="SimSun" w:cs="SimSun"/>
          <w:sz w:val="18"/>
          <w:szCs w:val="18"/>
        </w:rPr>
      </w:pPr>
      <w:r>
        <w:rPr>
          <w:rFonts w:ascii="SimHei" w:hAnsi="SimHei" w:eastAsia="SimHei" w:cs="SimHei"/>
          <w:sz w:val="18"/>
          <w:szCs w:val="18"/>
          <w:spacing w:val="-1"/>
        </w:rPr>
        <w:t>注：</w:t>
      </w:r>
      <w:r>
        <w:rPr>
          <w:rFonts w:ascii="SimSun" w:hAnsi="SimSun" w:eastAsia="SimSun" w:cs="SimSun"/>
          <w:sz w:val="18"/>
          <w:szCs w:val="18"/>
          <w:spacing w:val="-1"/>
        </w:rPr>
        <w:t>组织应根据本文件要求和实际情况确定所需保持和保留的成</w:t>
      </w:r>
      <w:r>
        <w:rPr>
          <w:rFonts w:ascii="SimSun" w:hAnsi="SimSun" w:eastAsia="SimSun" w:cs="SimSun"/>
          <w:sz w:val="18"/>
          <w:szCs w:val="18"/>
          <w:spacing w:val="-2"/>
        </w:rPr>
        <w:t>文信息。</w:t>
      </w:r>
    </w:p>
    <w:p>
      <w:pPr>
        <w:spacing w:line="219" w:lineRule="auto"/>
        <w:sectPr>
          <w:footerReference w:type="default" r:id="rId31"/>
          <w:pgSz w:w="11907" w:h="16839"/>
          <w:pgMar w:top="1028" w:right="1128" w:bottom="880" w:left="1411" w:header="703" w:footer="678" w:gutter="0"/>
        </w:sectPr>
        <w:rPr>
          <w:rFonts w:ascii="SimSun" w:hAnsi="SimSun" w:eastAsia="SimSun" w:cs="SimSun"/>
          <w:sz w:val="18"/>
          <w:szCs w:val="18"/>
        </w:rPr>
      </w:pPr>
    </w:p>
    <w:p>
      <w:pPr>
        <w:ind w:left="4249"/>
        <w:spacing w:before="135" w:line="220" w:lineRule="auto"/>
        <w:outlineLvl w:val="0"/>
        <w:rPr>
          <w:rFonts w:ascii="SimHei" w:hAnsi="SimHei" w:eastAsia="SimHei" w:cs="SimHei"/>
          <w:sz w:val="21"/>
          <w:szCs w:val="21"/>
        </w:rPr>
      </w:pPr>
      <w:bookmarkStart w:name="bookmark44" w:id="55"/>
      <w:bookmarkEnd w:id="55"/>
      <w:r>
        <w:rPr>
          <w:rFonts w:ascii="SimHei" w:hAnsi="SimHei" w:eastAsia="SimHei" w:cs="SimHei"/>
          <w:sz w:val="21"/>
          <w:szCs w:val="21"/>
          <w:spacing w:val="-2"/>
        </w:rPr>
        <w:t>参考文献</w:t>
      </w:r>
    </w:p>
    <w:p>
      <w:pPr>
        <w:spacing w:before="263" w:line="217" w:lineRule="auto"/>
        <w:rPr>
          <w:rFonts w:ascii="SimSun" w:hAnsi="SimSun" w:eastAsia="SimSun" w:cs="SimSun"/>
          <w:sz w:val="21"/>
          <w:szCs w:val="21"/>
        </w:rPr>
      </w:pPr>
      <w:r>
        <w:rPr>
          <w:rFonts w:ascii="Times New Roman" w:hAnsi="Times New Roman" w:eastAsia="Times New Roman" w:cs="Times New Roman"/>
          <w:sz w:val="21"/>
          <w:szCs w:val="21"/>
          <w:spacing w:val="-3"/>
        </w:rPr>
        <w:t>[</w:t>
      </w:r>
      <w:r>
        <w:rPr>
          <w:rFonts w:ascii="Times New Roman" w:hAnsi="Times New Roman" w:eastAsia="Times New Roman" w:cs="Times New Roman"/>
          <w:sz w:val="21"/>
          <w:szCs w:val="21"/>
          <w:spacing w:val="-17"/>
        </w:rPr>
        <w:t xml:space="preserve"> </w:t>
      </w:r>
      <w:hyperlink w:history="true" w:anchor="bookmark50">
        <w:r>
          <w:rPr>
            <w:rFonts w:ascii="Times New Roman" w:hAnsi="Times New Roman" w:eastAsia="Times New Roman" w:cs="Times New Roman"/>
            <w:sz w:val="21"/>
            <w:szCs w:val="21"/>
            <w:spacing w:val="-3"/>
          </w:rPr>
          <w:t>1</w:t>
        </w:r>
      </w:hyperlink>
      <w:r>
        <w:rPr>
          <w:rFonts w:ascii="Times New Roman" w:hAnsi="Times New Roman" w:eastAsia="Times New Roman" w:cs="Times New Roman"/>
          <w:sz w:val="21"/>
          <w:szCs w:val="21"/>
          <w:spacing w:val="-3"/>
        </w:rPr>
        <w:t>] GB/T</w:t>
      </w:r>
      <w:r>
        <w:rPr>
          <w:rFonts w:ascii="Times New Roman" w:hAnsi="Times New Roman" w:eastAsia="Times New Roman" w:cs="Times New Roman"/>
          <w:sz w:val="21"/>
          <w:szCs w:val="21"/>
          <w:spacing w:val="25"/>
          <w:w w:val="101"/>
        </w:rPr>
        <w:t xml:space="preserve"> </w:t>
      </w:r>
      <w:r>
        <w:rPr>
          <w:rFonts w:ascii="Times New Roman" w:hAnsi="Times New Roman" w:eastAsia="Times New Roman" w:cs="Times New Roman"/>
          <w:sz w:val="21"/>
          <w:szCs w:val="21"/>
          <w:spacing w:val="-3"/>
        </w:rPr>
        <w:t>19001—2016 </w:t>
      </w:r>
      <w:r>
        <w:rPr>
          <w:rFonts w:ascii="SimSun" w:hAnsi="SimSun" w:eastAsia="SimSun" w:cs="SimSun"/>
          <w:sz w:val="21"/>
          <w:szCs w:val="21"/>
          <w:spacing w:val="-3"/>
        </w:rPr>
        <w:t>质量管理体系</w:t>
      </w:r>
      <w:r>
        <w:rPr>
          <w:rFonts w:ascii="SimSun" w:hAnsi="SimSun" w:eastAsia="SimSun" w:cs="SimSun"/>
          <w:sz w:val="21"/>
          <w:szCs w:val="21"/>
          <w:spacing w:val="-45"/>
        </w:rPr>
        <w:t xml:space="preserve"> </w:t>
      </w:r>
      <w:r>
        <w:rPr>
          <w:rFonts w:ascii="SimSun" w:hAnsi="SimSun" w:eastAsia="SimSun" w:cs="SimSun"/>
          <w:sz w:val="21"/>
          <w:szCs w:val="21"/>
          <w:spacing w:val="-3"/>
        </w:rPr>
        <w:t>要求</w:t>
      </w:r>
    </w:p>
    <w:p>
      <w:pPr>
        <w:pStyle w:val="BodyText"/>
        <w:spacing w:line="292" w:lineRule="auto"/>
        <w:rPr/>
      </w:pPr>
      <w:r/>
    </w:p>
    <w:p>
      <w:pPr>
        <w:spacing w:before="68" w:line="217" w:lineRule="auto"/>
        <w:rPr>
          <w:rFonts w:ascii="SimSun" w:hAnsi="SimSun" w:eastAsia="SimSun" w:cs="SimSun"/>
          <w:sz w:val="21"/>
          <w:szCs w:val="21"/>
        </w:rPr>
      </w:pPr>
      <w:r>
        <w:rPr>
          <w:rFonts w:ascii="Times New Roman" w:hAnsi="Times New Roman" w:eastAsia="Times New Roman" w:cs="Times New Roman"/>
          <w:sz w:val="21"/>
          <w:szCs w:val="21"/>
          <w:spacing w:val="-1"/>
        </w:rPr>
        <w:t>[</w:t>
      </w:r>
      <w:hyperlink w:history="true" w:anchor="bookmark51">
        <w:r>
          <w:rPr>
            <w:rFonts w:ascii="Times New Roman" w:hAnsi="Times New Roman" w:eastAsia="Times New Roman" w:cs="Times New Roman"/>
            <w:sz w:val="21"/>
            <w:szCs w:val="21"/>
            <w:spacing w:val="-1"/>
          </w:rPr>
          <w:t>2</w:t>
        </w:r>
      </w:hyperlink>
      <w:r>
        <w:rPr>
          <w:rFonts w:ascii="Times New Roman" w:hAnsi="Times New Roman" w:eastAsia="Times New Roman" w:cs="Times New Roman"/>
          <w:sz w:val="21"/>
          <w:szCs w:val="21"/>
          <w:spacing w:val="-1"/>
        </w:rPr>
        <w:t>] GB/T 38159—2019 </w:t>
      </w:r>
      <w:r>
        <w:rPr>
          <w:rFonts w:ascii="SimSun" w:hAnsi="SimSun" w:eastAsia="SimSun" w:cs="SimSun"/>
          <w:sz w:val="21"/>
          <w:szCs w:val="21"/>
          <w:spacing w:val="-1"/>
        </w:rPr>
        <w:t>重要产品追溯</w:t>
      </w:r>
      <w:r>
        <w:rPr>
          <w:rFonts w:ascii="SimSun" w:hAnsi="SimSun" w:eastAsia="SimSun" w:cs="SimSun"/>
          <w:sz w:val="21"/>
          <w:szCs w:val="21"/>
          <w:spacing w:val="-36"/>
        </w:rPr>
        <w:t xml:space="preserve"> </w:t>
      </w:r>
      <w:r>
        <w:rPr>
          <w:rFonts w:ascii="SimSun" w:hAnsi="SimSun" w:eastAsia="SimSun" w:cs="SimSun"/>
          <w:sz w:val="21"/>
          <w:szCs w:val="21"/>
          <w:spacing w:val="-1"/>
        </w:rPr>
        <w:t>追溯体系通用要求</w:t>
      </w:r>
    </w:p>
    <w:p>
      <w:pPr>
        <w:pStyle w:val="BodyText"/>
        <w:spacing w:line="290" w:lineRule="auto"/>
        <w:rPr/>
      </w:pPr>
      <w:r/>
    </w:p>
    <w:p>
      <w:pPr>
        <w:spacing w:before="68" w:line="217" w:lineRule="auto"/>
        <w:rPr>
          <w:rFonts w:ascii="SimSun" w:hAnsi="SimSun" w:eastAsia="SimSun" w:cs="SimSun"/>
          <w:sz w:val="21"/>
          <w:szCs w:val="21"/>
        </w:rPr>
      </w:pPr>
      <w:r>
        <w:rPr>
          <w:rFonts w:ascii="Times New Roman" w:hAnsi="Times New Roman" w:eastAsia="Times New Roman" w:cs="Times New Roman"/>
          <w:sz w:val="21"/>
          <w:szCs w:val="21"/>
          <w:spacing w:val="-1"/>
        </w:rPr>
        <w:t>[</w:t>
      </w:r>
      <w:hyperlink w:history="true" w:anchor="bookmark52">
        <w:r>
          <w:rPr>
            <w:rFonts w:ascii="Times New Roman" w:hAnsi="Times New Roman" w:eastAsia="Times New Roman" w:cs="Times New Roman"/>
            <w:sz w:val="21"/>
            <w:szCs w:val="21"/>
            <w:spacing w:val="-1"/>
          </w:rPr>
          <w:t>3</w:t>
        </w:r>
      </w:hyperlink>
      <w:r>
        <w:rPr>
          <w:rFonts w:ascii="Times New Roman" w:hAnsi="Times New Roman" w:eastAsia="Times New Roman" w:cs="Times New Roman"/>
          <w:sz w:val="21"/>
          <w:szCs w:val="21"/>
          <w:spacing w:val="-1"/>
        </w:rPr>
        <w:t>] GB/T 38155—2019 </w:t>
      </w:r>
      <w:r>
        <w:rPr>
          <w:rFonts w:ascii="SimSun" w:hAnsi="SimSun" w:eastAsia="SimSun" w:cs="SimSun"/>
          <w:sz w:val="21"/>
          <w:szCs w:val="21"/>
          <w:spacing w:val="-1"/>
        </w:rPr>
        <w:t>重要产品追溯</w:t>
      </w:r>
      <w:r>
        <w:rPr>
          <w:rFonts w:ascii="SimSun" w:hAnsi="SimSun" w:eastAsia="SimSun" w:cs="SimSun"/>
          <w:sz w:val="21"/>
          <w:szCs w:val="21"/>
          <w:spacing w:val="-39"/>
        </w:rPr>
        <w:t xml:space="preserve"> </w:t>
      </w:r>
      <w:r>
        <w:rPr>
          <w:rFonts w:ascii="SimSun" w:hAnsi="SimSun" w:eastAsia="SimSun" w:cs="SimSun"/>
          <w:sz w:val="21"/>
          <w:szCs w:val="21"/>
          <w:spacing w:val="-1"/>
        </w:rPr>
        <w:t>追溯术语</w:t>
      </w:r>
    </w:p>
    <w:p>
      <w:pPr>
        <w:pStyle w:val="BodyText"/>
        <w:spacing w:line="291" w:lineRule="auto"/>
        <w:rPr/>
      </w:pPr>
      <w:r/>
    </w:p>
    <w:p>
      <w:pPr>
        <w:ind w:left="407" w:right="837" w:hanging="407"/>
        <w:spacing w:before="69" w:line="367" w:lineRule="auto"/>
        <w:rPr>
          <w:rFonts w:ascii="SimSun" w:hAnsi="SimSun" w:eastAsia="SimSun" w:cs="SimSun"/>
          <w:sz w:val="21"/>
          <w:szCs w:val="21"/>
        </w:rPr>
      </w:pPr>
      <w:r>
        <w:rPr>
          <w:rFonts w:ascii="Times New Roman" w:hAnsi="Times New Roman" w:eastAsia="Times New Roman" w:cs="Times New Roman"/>
          <w:sz w:val="21"/>
          <w:szCs w:val="21"/>
        </w:rPr>
        <w:t>[</w:t>
      </w:r>
      <w:hyperlink w:history="true" w:anchor="bookmark53">
        <w:r>
          <w:rPr>
            <w:rFonts w:ascii="Times New Roman" w:hAnsi="Times New Roman" w:eastAsia="Times New Roman" w:cs="Times New Roman"/>
            <w:sz w:val="21"/>
            <w:szCs w:val="21"/>
          </w:rPr>
          <w:t>4</w:t>
        </w:r>
      </w:hyperlink>
      <w:r>
        <w:rPr>
          <w:rFonts w:ascii="Times New Roman" w:hAnsi="Times New Roman" w:eastAsia="Times New Roman" w:cs="Times New Roman"/>
          <w:sz w:val="21"/>
          <w:szCs w:val="21"/>
        </w:rPr>
        <w:t>] GB/T 22005—2009 </w:t>
      </w:r>
      <w:r>
        <w:rPr>
          <w:rFonts w:ascii="SimSun" w:hAnsi="SimSun" w:eastAsia="SimSun" w:cs="SimSun"/>
          <w:sz w:val="21"/>
          <w:szCs w:val="21"/>
        </w:rPr>
        <w:t>饲料和食品链的可追溯</w:t>
      </w:r>
      <w:r>
        <w:rPr>
          <w:rFonts w:ascii="SimSun" w:hAnsi="SimSun" w:eastAsia="SimSun" w:cs="SimSun"/>
          <w:sz w:val="21"/>
          <w:szCs w:val="21"/>
          <w:spacing w:val="-1"/>
        </w:rPr>
        <w:t>性</w:t>
      </w:r>
      <w:r>
        <w:rPr>
          <w:rFonts w:ascii="SimSun" w:hAnsi="SimSun" w:eastAsia="SimSun" w:cs="SimSun"/>
          <w:sz w:val="21"/>
          <w:szCs w:val="21"/>
          <w:spacing w:val="-46"/>
        </w:rPr>
        <w:t xml:space="preserve"> </w:t>
      </w:r>
      <w:r>
        <w:rPr>
          <w:rFonts w:ascii="SimSun" w:hAnsi="SimSun" w:eastAsia="SimSun" w:cs="SimSun"/>
          <w:sz w:val="21"/>
          <w:szCs w:val="21"/>
          <w:spacing w:val="-1"/>
        </w:rPr>
        <w:t>体系设计与实施的通用原则和基本要求（</w:t>
      </w:r>
      <w:r>
        <w:rPr>
          <w:rFonts w:ascii="Times New Roman" w:hAnsi="Times New Roman" w:eastAsia="Times New Roman" w:cs="Times New Roman"/>
          <w:sz w:val="21"/>
          <w:szCs w:val="21"/>
          <w:spacing w:val="-1"/>
        </w:rPr>
        <w:t>ISO</w:t>
      </w:r>
      <w:r>
        <w:rPr>
          <w:rFonts w:ascii="Times New Roman" w:hAnsi="Times New Roman" w:eastAsia="Times New Roman" w:cs="Times New Roman"/>
          <w:sz w:val="21"/>
          <w:szCs w:val="21"/>
        </w:rPr>
        <w:t xml:space="preserve"> </w:t>
      </w:r>
      <w:r>
        <w:rPr>
          <w:rFonts w:ascii="Times New Roman" w:hAnsi="Times New Roman" w:eastAsia="Times New Roman" w:cs="Times New Roman"/>
          <w:sz w:val="21"/>
          <w:szCs w:val="21"/>
          <w:spacing w:val="-2"/>
        </w:rPr>
        <w:t>22005:2007</w:t>
      </w:r>
      <w:r>
        <w:rPr>
          <w:rFonts w:ascii="Times New Roman" w:hAnsi="Times New Roman" w:eastAsia="Times New Roman" w:cs="Times New Roman"/>
          <w:sz w:val="21"/>
          <w:szCs w:val="21"/>
          <w:spacing w:val="-27"/>
        </w:rPr>
        <w:t xml:space="preserve"> </w:t>
      </w:r>
      <w:r>
        <w:rPr>
          <w:rFonts w:ascii="SimSun" w:hAnsi="SimSun" w:eastAsia="SimSun" w:cs="SimSun"/>
          <w:sz w:val="21"/>
          <w:szCs w:val="21"/>
          <w:spacing w:val="-2"/>
        </w:rPr>
        <w:t>，</w:t>
      </w:r>
      <w:r>
        <w:rPr>
          <w:rFonts w:ascii="Times New Roman" w:hAnsi="Times New Roman" w:eastAsia="Times New Roman" w:cs="Times New Roman"/>
          <w:sz w:val="21"/>
          <w:szCs w:val="21"/>
          <w:spacing w:val="-2"/>
        </w:rPr>
        <w:t>IDT</w:t>
      </w:r>
      <w:r>
        <w:rPr>
          <w:rFonts w:ascii="SimSun" w:hAnsi="SimSun" w:eastAsia="SimSun" w:cs="SimSun"/>
          <w:sz w:val="21"/>
          <w:szCs w:val="21"/>
          <w:spacing w:val="-2"/>
        </w:rPr>
        <w:t>）</w:t>
      </w:r>
    </w:p>
    <w:p>
      <w:pPr>
        <w:spacing w:before="184" w:line="217" w:lineRule="auto"/>
        <w:rPr>
          <w:rFonts w:ascii="SimSun" w:hAnsi="SimSun" w:eastAsia="SimSun" w:cs="SimSun"/>
          <w:sz w:val="21"/>
          <w:szCs w:val="21"/>
        </w:rPr>
      </w:pPr>
      <w:r>
        <w:rPr>
          <w:rFonts w:ascii="Times New Roman" w:hAnsi="Times New Roman" w:eastAsia="Times New Roman" w:cs="Times New Roman"/>
          <w:sz w:val="21"/>
          <w:szCs w:val="21"/>
          <w:spacing w:val="-2"/>
        </w:rPr>
        <w:t>[</w:t>
      </w:r>
      <w:hyperlink w:history="true" w:anchor="bookmark54">
        <w:r>
          <w:rPr>
            <w:rFonts w:ascii="Times New Roman" w:hAnsi="Times New Roman" w:eastAsia="Times New Roman" w:cs="Times New Roman"/>
            <w:sz w:val="21"/>
            <w:szCs w:val="21"/>
            <w:spacing w:val="-2"/>
          </w:rPr>
          <w:t>5</w:t>
        </w:r>
      </w:hyperlink>
      <w:r>
        <w:rPr>
          <w:rFonts w:ascii="Times New Roman" w:hAnsi="Times New Roman" w:eastAsia="Times New Roman" w:cs="Times New Roman"/>
          <w:sz w:val="21"/>
          <w:szCs w:val="21"/>
          <w:spacing w:val="-2"/>
        </w:rPr>
        <w:t>] GB/T</w:t>
      </w:r>
      <w:r>
        <w:rPr>
          <w:rFonts w:ascii="Times New Roman" w:hAnsi="Times New Roman" w:eastAsia="Times New Roman" w:cs="Times New Roman"/>
          <w:sz w:val="21"/>
          <w:szCs w:val="21"/>
          <w:spacing w:val="25"/>
        </w:rPr>
        <w:t xml:space="preserve"> </w:t>
      </w:r>
      <w:r>
        <w:rPr>
          <w:rFonts w:ascii="Times New Roman" w:hAnsi="Times New Roman" w:eastAsia="Times New Roman" w:cs="Times New Roman"/>
          <w:sz w:val="21"/>
          <w:szCs w:val="21"/>
          <w:spacing w:val="-2"/>
        </w:rPr>
        <w:t>19011—2021</w:t>
      </w:r>
      <w:r>
        <w:rPr>
          <w:rFonts w:ascii="Times New Roman" w:hAnsi="Times New Roman" w:eastAsia="Times New Roman" w:cs="Times New Roman"/>
          <w:sz w:val="21"/>
          <w:szCs w:val="21"/>
          <w:spacing w:val="13"/>
          <w:w w:val="101"/>
        </w:rPr>
        <w:t xml:space="preserve"> </w:t>
      </w:r>
      <w:r>
        <w:rPr>
          <w:rFonts w:ascii="SimSun" w:hAnsi="SimSun" w:eastAsia="SimSun" w:cs="SimSun"/>
          <w:sz w:val="21"/>
          <w:szCs w:val="21"/>
          <w:spacing w:val="-2"/>
        </w:rPr>
        <w:t>管理体系审核</w:t>
      </w:r>
      <w:r>
        <w:rPr>
          <w:rFonts w:ascii="SimSun" w:hAnsi="SimSun" w:eastAsia="SimSun" w:cs="SimSun"/>
          <w:sz w:val="21"/>
          <w:szCs w:val="21"/>
          <w:spacing w:val="-3"/>
        </w:rPr>
        <w:t>指南</w:t>
      </w:r>
    </w:p>
    <w:p>
      <w:pPr>
        <w:pStyle w:val="BodyText"/>
        <w:spacing w:line="317" w:lineRule="auto"/>
        <w:rPr/>
      </w:pPr>
      <w:r/>
    </w:p>
    <w:p>
      <w:pPr>
        <w:spacing w:before="61" w:line="191" w:lineRule="auto"/>
        <w:rPr>
          <w:rFonts w:ascii="Times New Roman" w:hAnsi="Times New Roman" w:eastAsia="Times New Roman" w:cs="Times New Roman"/>
          <w:sz w:val="21"/>
          <w:szCs w:val="21"/>
        </w:rPr>
      </w:pPr>
      <w:r>
        <w:rPr>
          <w:rFonts w:ascii="Times New Roman" w:hAnsi="Times New Roman" w:eastAsia="Times New Roman" w:cs="Times New Roman"/>
          <w:sz w:val="21"/>
          <w:szCs w:val="21"/>
        </w:rPr>
        <w:t>[</w:t>
      </w:r>
      <w:hyperlink w:history="true" w:anchor="bookmark55">
        <w:r>
          <w:rPr>
            <w:rFonts w:ascii="Times New Roman" w:hAnsi="Times New Roman" w:eastAsia="Times New Roman" w:cs="Times New Roman"/>
            <w:sz w:val="21"/>
            <w:szCs w:val="21"/>
          </w:rPr>
          <w:t>6</w:t>
        </w:r>
      </w:hyperlink>
      <w:r>
        <w:rPr>
          <w:rFonts w:ascii="Times New Roman" w:hAnsi="Times New Roman" w:eastAsia="Times New Roman" w:cs="Times New Roman"/>
          <w:sz w:val="21"/>
          <w:szCs w:val="21"/>
        </w:rPr>
        <w:t>] ISO 9000:2015 Quality management systems — Fundamentals an</w:t>
      </w:r>
      <w:r>
        <w:rPr>
          <w:rFonts w:ascii="Times New Roman" w:hAnsi="Times New Roman" w:eastAsia="Times New Roman" w:cs="Times New Roman"/>
          <w:sz w:val="21"/>
          <w:szCs w:val="21"/>
          <w:spacing w:val="-1"/>
        </w:rPr>
        <w:t>d vocabulary</w:t>
      </w:r>
    </w:p>
    <w:sectPr>
      <w:headerReference w:type="default" r:id="rId32"/>
      <w:footerReference w:type="default" r:id="rId33"/>
      <w:pgSz w:w="11907" w:h="16839"/>
      <w:pgMar w:top="1028" w:right="1132" w:bottom="880" w:left="1433" w:header="703" w:footer="68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Cambria">
    <w:panose1 w:val="02040503050406030204"/>
    <w:charset w:val="00"/>
    <w:family w:val="auto"/>
    <w:pitch w:val="variable"/>
    <w:sig w:usb0="E00006FF" w:usb1="420024FF" w:usb2="02000000" w:usb3="00000000" w:csb0="2000019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I</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II</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22"/>
      </w:rPr>
      <w:t>1</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4"/>
      </w:rPr>
      <w:t>2</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269"/>
      <w:spacing w:line="22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3"/>
      </w:rPr>
      <w:t>4</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265"/>
      <w:spacing w:line="22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265"/>
      <w:spacing w:line="22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7"/>
      </w:rPr>
      <w:t>7</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269"/>
      <w:spacing w:line="22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9</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9189"/>
      <w:spacing w:line="220"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10</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2"/>
      </w:rPr>
      <w:t>1</w:t>
    </w:r>
    <w:r>
      <w:rPr>
        <w:rFonts w:ascii="Times New Roman" w:hAnsi="Times New Roman" w:eastAsia="Times New Roman" w:cs="Times New Roman"/>
        <w:sz w:val="18"/>
        <w:szCs w:val="18"/>
        <w:spacing w:val="-8"/>
      </w:rPr>
      <w:t>2</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13</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3"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3"/>
      </w:rPr>
      <w:t>1</w:t>
    </w:r>
    <w:r>
      <w:rPr>
        <w:rFonts w:ascii="Times New Roman" w:hAnsi="Times New Roman" w:eastAsia="Times New Roman" w:cs="Times New Roman"/>
        <w:sz w:val="18"/>
        <w:szCs w:val="18"/>
        <w:spacing w:val="-7"/>
      </w:rPr>
      <w:t>4</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220" w:lineRule="auto"/>
      <w:jc w:val="right"/>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66" w:line="233" w:lineRule="auto"/>
      <w:jc w:val="right"/>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56"/>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351"/>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44"/>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39"/>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45"/>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45"/>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39"/>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40"/>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42"/>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41"/>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41"/>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40"/>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23"/>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53"/>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131"/>
      <w:spacing w:before="66" w:line="233"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1"/>
      </w:rPr>
      <w:t>CTS ZRHZ006-2026</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5.xml"/><Relationship Id="rId7" Type="http://schemas.openxmlformats.org/officeDocument/2006/relationships/footer" Target="footer3.xml"/><Relationship Id="rId6" Type="http://schemas.openxmlformats.org/officeDocument/2006/relationships/header" Target="header4.xml"/><Relationship Id="rId5" Type="http://schemas.openxmlformats.org/officeDocument/2006/relationships/footer" Target="footer2.xml"/><Relationship Id="rId4" Type="http://schemas.openxmlformats.org/officeDocument/2006/relationships/header" Target="header3.xml"/><Relationship Id="rId36" Type="http://schemas.openxmlformats.org/officeDocument/2006/relationships/fontTable" Target="fontTable.xml"/><Relationship Id="rId35" Type="http://schemas.openxmlformats.org/officeDocument/2006/relationships/styles" Target="styles.xml"/><Relationship Id="rId34" Type="http://schemas.openxmlformats.org/officeDocument/2006/relationships/settings" Target="settings.xml"/><Relationship Id="rId33" Type="http://schemas.openxmlformats.org/officeDocument/2006/relationships/footer" Target="footer17.xml"/><Relationship Id="rId32" Type="http://schemas.openxmlformats.org/officeDocument/2006/relationships/header" Target="header16.xml"/><Relationship Id="rId31" Type="http://schemas.openxmlformats.org/officeDocument/2006/relationships/footer" Target="footer16.xml"/><Relationship Id="rId30" Type="http://schemas.openxmlformats.org/officeDocument/2006/relationships/footer" Target="footer15.xml"/><Relationship Id="rId3" Type="http://schemas.openxmlformats.org/officeDocument/2006/relationships/footer" Target="footer1.xml"/><Relationship Id="rId29" Type="http://schemas.openxmlformats.org/officeDocument/2006/relationships/footer" Target="footer14.xml"/><Relationship Id="rId28" Type="http://schemas.openxmlformats.org/officeDocument/2006/relationships/header" Target="header15.xml"/><Relationship Id="rId27" Type="http://schemas.openxmlformats.org/officeDocument/2006/relationships/footer" Target="footer13.xml"/><Relationship Id="rId26" Type="http://schemas.openxmlformats.org/officeDocument/2006/relationships/header" Target="header14.xml"/><Relationship Id="rId25" Type="http://schemas.openxmlformats.org/officeDocument/2006/relationships/footer" Target="footer12.xml"/><Relationship Id="rId24" Type="http://schemas.openxmlformats.org/officeDocument/2006/relationships/header" Target="header13.xml"/><Relationship Id="rId23" Type="http://schemas.openxmlformats.org/officeDocument/2006/relationships/footer" Target="footer11.xml"/><Relationship Id="rId22" Type="http://schemas.openxmlformats.org/officeDocument/2006/relationships/header" Target="header12.xml"/><Relationship Id="rId21" Type="http://schemas.openxmlformats.org/officeDocument/2006/relationships/footer" Target="footer10.xml"/><Relationship Id="rId20" Type="http://schemas.openxmlformats.org/officeDocument/2006/relationships/header" Target="header11.xml"/><Relationship Id="rId2" Type="http://schemas.openxmlformats.org/officeDocument/2006/relationships/header" Target="header2.xml"/><Relationship Id="rId19" Type="http://schemas.openxmlformats.org/officeDocument/2006/relationships/footer" Target="footer9.xml"/><Relationship Id="rId18" Type="http://schemas.openxmlformats.org/officeDocument/2006/relationships/header" Target="header10.xml"/><Relationship Id="rId17" Type="http://schemas.openxmlformats.org/officeDocument/2006/relationships/footer" Target="footer8.xml"/><Relationship Id="rId16" Type="http://schemas.openxmlformats.org/officeDocument/2006/relationships/header" Target="header9.xml"/><Relationship Id="rId15" Type="http://schemas.openxmlformats.org/officeDocument/2006/relationships/footer" Target="footer7.xml"/><Relationship Id="rId14" Type="http://schemas.openxmlformats.org/officeDocument/2006/relationships/header" Target="header8.xml"/><Relationship Id="rId13" Type="http://schemas.openxmlformats.org/officeDocument/2006/relationships/footer" Target="footer6.xml"/><Relationship Id="rId12" Type="http://schemas.openxmlformats.org/officeDocument/2006/relationships/header" Target="header7.xml"/><Relationship Id="rId11" Type="http://schemas.openxmlformats.org/officeDocument/2006/relationships/footer" Target="footer5.xml"/><Relationship Id="rId10" Type="http://schemas.openxmlformats.org/officeDocument/2006/relationships/header" Target="header6.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ap:Application>Microsoft® Word 2019</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terms:created xsi:type="dcterms:W3CDTF">2026-09-03T11:20:32Z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2026-09-04T14:56:56</vt:filetime>
  </property>
</Properties>
</file>